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pacing w:val="15"/>
          <w:sz w:val="32"/>
          <w:szCs w:val="32"/>
        </w:rPr>
      </w:pPr>
    </w:p>
    <w:p>
      <w:pPr>
        <w:spacing w:line="560" w:lineRule="exact"/>
        <w:jc w:val="center"/>
        <w:rPr>
          <w:rFonts w:ascii="方正小标宋简体" w:hAnsi="方正小标宋简体" w:eastAsia="方正小标宋简体" w:cs="方正小标宋简体"/>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r>
        <w:rPr>
          <w:rFonts w:ascii="方正小标宋简体" w:hAnsi="方正小标宋简体" w:eastAsia="方正小标宋简体" w:cs="方正小标宋简体"/>
          <w:bCs/>
          <w:spacing w:val="15"/>
          <w:sz w:val="44"/>
          <w:szCs w:val="44"/>
        </w:rPr>
        <w:t>丽水市民政局</w:t>
      </w:r>
      <w:r>
        <w:rPr>
          <w:rFonts w:hint="eastAsia" w:ascii="方正小标宋简体" w:hAnsi="方正小标宋简体" w:eastAsia="方正小标宋简体" w:cs="方正小标宋简体"/>
          <w:bCs/>
          <w:spacing w:val="15"/>
          <w:sz w:val="44"/>
          <w:szCs w:val="44"/>
          <w:lang w:eastAsia="zh-CN"/>
        </w:rPr>
        <w:t>2025年</w:t>
      </w:r>
      <w:r>
        <w:rPr>
          <w:rFonts w:hint="eastAsia" w:ascii="方正小标宋简体" w:hAnsi="方正小标宋简体" w:eastAsia="方正小标宋简体" w:cs="方正小标宋简体"/>
          <w:bCs/>
          <w:spacing w:val="15"/>
          <w:sz w:val="44"/>
          <w:szCs w:val="44"/>
        </w:rPr>
        <w:t>单位预算</w:t>
      </w:r>
    </w:p>
    <w:p>
      <w:pPr>
        <w:spacing w:line="560" w:lineRule="exact"/>
        <w:ind w:firstLine="590" w:firstLineChars="196"/>
        <w:rPr>
          <w:rStyle w:val="9"/>
          <w:color w:val="000000"/>
          <w:sz w:val="30"/>
          <w:szCs w:val="30"/>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r>
        <w:rPr>
          <w:rStyle w:val="9"/>
          <w:rFonts w:hint="eastAsia" w:ascii="黑体" w:eastAsia="黑体"/>
          <w:b w:val="0"/>
          <w:color w:val="000000"/>
          <w:sz w:val="32"/>
          <w:szCs w:val="32"/>
        </w:rPr>
        <w:t>目录</w:t>
      </w:r>
    </w:p>
    <w:p>
      <w:pPr>
        <w:spacing w:line="520" w:lineRule="exact"/>
        <w:rPr>
          <w:rFonts w:eastAsia="黑体"/>
          <w:sz w:val="32"/>
        </w:rPr>
      </w:pPr>
      <w:r>
        <w:rPr>
          <w:rFonts w:hint="eastAsia" w:ascii="黑体" w:eastAsia="黑体"/>
          <w:color w:val="000000"/>
          <w:sz w:val="32"/>
          <w:highlight w:val="white"/>
        </w:rPr>
        <w:t>一、单位</w:t>
      </w:r>
      <w:r>
        <w:rPr>
          <w:rStyle w:val="9"/>
          <w:rFonts w:hint="eastAsia" w:ascii="黑体" w:eastAsia="黑体"/>
          <w:b w:val="0"/>
          <w:color w:val="000000"/>
          <w:sz w:val="32"/>
          <w:szCs w:val="32"/>
        </w:rPr>
        <w:t>概况</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（一）主要职能</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（二）单位机构设置情况</w:t>
      </w:r>
    </w:p>
    <w:p>
      <w:pPr>
        <w:spacing w:line="520" w:lineRule="exact"/>
        <w:rPr>
          <w:rStyle w:val="9"/>
          <w:rFonts w:ascii="黑体" w:eastAsia="黑体"/>
          <w:b w:val="0"/>
          <w:color w:val="000000"/>
          <w:sz w:val="32"/>
          <w:szCs w:val="32"/>
        </w:rPr>
      </w:pPr>
      <w:r>
        <w:rPr>
          <w:rStyle w:val="9"/>
          <w:rFonts w:hint="eastAsia" w:ascii="黑体" w:eastAsia="黑体"/>
          <w:b w:val="0"/>
          <w:color w:val="000000"/>
          <w:sz w:val="32"/>
          <w:szCs w:val="32"/>
        </w:rPr>
        <w:t>二、</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丽水市民政局单位预算安排情况说明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（一）关于丽水市民政局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（二）关于丽水市民政局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收入预算情况说明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（三）关于丽水市民政局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支出预算情况说明</w:t>
      </w:r>
      <w:r>
        <w:rPr>
          <w:rFonts w:hint="eastAsia" w:ascii="楷体_GB2312" w:hAnsi="楷体_GB2312" w:eastAsia="楷体_GB2312" w:cs="楷体_GB2312"/>
          <w:bCs/>
          <w:sz w:val="32"/>
          <w:szCs w:val="32"/>
        </w:rPr>
        <w:br w:type="textWrapping"/>
      </w:r>
      <w:r>
        <w:rPr>
          <w:rFonts w:hint="eastAsia" w:ascii="楷体_GB2312" w:hAnsi="楷体_GB2312" w:eastAsia="楷体_GB2312" w:cs="楷体_GB2312"/>
          <w:bCs/>
          <w:sz w:val="32"/>
          <w:szCs w:val="32"/>
        </w:rPr>
        <w:t>（四）关于丽水市民政局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财政拨款收支预算情况的总体说明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（五）关于丽水市民政局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一般公共预算拨款情况说明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（六）关于丽水市民政局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一般公共预算基本支出情况说明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（七）关于丽水市民政局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政府性基金预算支出情况说明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（八）关于丽水市民政局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国有资本经营预算支出情况说明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（九）关于丽水市民政局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一般公共预算“三公”经费预算情况说明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pStyle w:val="14"/>
        <w:spacing w:line="520" w:lineRule="exact"/>
        <w:rPr>
          <w:rStyle w:val="9"/>
          <w:rFonts w:ascii="黑体" w:hAnsi="Calibri" w:eastAsia="黑体"/>
          <w:b w:val="0"/>
          <w:color w:val="000000"/>
          <w:kern w:val="2"/>
          <w:sz w:val="32"/>
          <w:szCs w:val="32"/>
        </w:rPr>
      </w:pPr>
      <w:r>
        <w:rPr>
          <w:rStyle w:val="9"/>
          <w:rFonts w:hint="eastAsia" w:ascii="黑体" w:hAnsi="Calibri" w:eastAsia="黑体"/>
          <w:b w:val="0"/>
          <w:color w:val="000000"/>
          <w:kern w:val="2"/>
          <w:sz w:val="32"/>
          <w:szCs w:val="32"/>
        </w:rPr>
        <w:t>三、名词解释</w:t>
      </w:r>
    </w:p>
    <w:p>
      <w:pPr>
        <w:spacing w:line="520" w:lineRule="exact"/>
        <w:rPr>
          <w:rStyle w:val="9"/>
          <w:rFonts w:ascii="黑体" w:eastAsia="黑体"/>
          <w:b w:val="0"/>
          <w:color w:val="000000"/>
          <w:sz w:val="32"/>
          <w:szCs w:val="32"/>
        </w:rPr>
      </w:pPr>
      <w:r>
        <w:rPr>
          <w:rStyle w:val="9"/>
          <w:rFonts w:hint="eastAsia" w:ascii="黑体" w:eastAsia="黑体"/>
          <w:b w:val="0"/>
          <w:color w:val="000000"/>
          <w:sz w:val="32"/>
          <w:szCs w:val="32"/>
        </w:rPr>
        <w:t>四、</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丽水市民政局单位预算表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单位收入预算总表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单位支出预算总表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（四）</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单位财政拨款收支预算总表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单位一般公共预算基本支出表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单位一般公共预算“三公”经费支出表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单位政府性基金预算支出表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单位国有资本经营预算支出表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单位项目支出预算表</w:t>
      </w:r>
    </w:p>
    <w:p>
      <w:pPr>
        <w:autoSpaceDE w:val="0"/>
        <w:autoSpaceDN w:val="0"/>
        <w:adjustRightInd w:val="0"/>
        <w:ind w:left="420" w:leftChars="200"/>
        <w:jc w:val="left"/>
        <w:rPr>
          <w:rStyle w:val="9"/>
          <w:rFonts w:ascii="楷体_GB2312" w:hAnsi="楷体_GB2312" w:eastAsia="楷体_GB2312" w:cs="楷体_GB2312"/>
          <w:b w:val="0"/>
          <w:sz w:val="32"/>
          <w:szCs w:val="32"/>
        </w:rPr>
      </w:pPr>
      <w:r>
        <w:rPr>
          <w:rFonts w:hint="eastAsia" w:ascii="楷体_GB2312" w:hAnsi="楷体_GB2312" w:eastAsia="楷体_GB2312" w:cs="楷体_GB2312"/>
          <w:bCs/>
          <w:sz w:val="32"/>
          <w:szCs w:val="32"/>
        </w:rPr>
        <w:t>（十一）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单位项目支出绩效表</w:t>
      </w: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tabs>
          <w:tab w:val="left" w:pos="2608"/>
        </w:tabs>
        <w:rPr>
          <w:rStyle w:val="9"/>
          <w:rFonts w:hint="default" w:ascii="黑体" w:eastAsia="黑体"/>
          <w:b w:val="0"/>
          <w:sz w:val="32"/>
          <w:szCs w:val="32"/>
        </w:rPr>
      </w:pPr>
      <w:r>
        <w:rPr>
          <w:rStyle w:val="9"/>
          <w:rFonts w:ascii="黑体" w:eastAsia="黑体"/>
          <w:b w:val="0"/>
          <w:sz w:val="32"/>
          <w:szCs w:val="32"/>
        </w:rPr>
        <w:tab/>
      </w:r>
    </w:p>
    <w:p>
      <w:pPr>
        <w:spacing w:line="520" w:lineRule="exact"/>
        <w:ind w:firstLine="627" w:firstLineChars="196"/>
        <w:rPr>
          <w:rStyle w:val="9"/>
          <w:rFonts w:ascii="黑体" w:eastAsia="黑体"/>
          <w:b w:val="0"/>
          <w:color w:val="000000"/>
          <w:sz w:val="32"/>
          <w:szCs w:val="32"/>
        </w:rPr>
      </w:pPr>
      <w:r>
        <w:rPr>
          <w:rStyle w:val="9"/>
          <w:rFonts w:hint="eastAsia" w:ascii="黑体" w:eastAsia="黑体"/>
          <w:b w:val="0"/>
          <w:color w:val="000000"/>
          <w:sz w:val="32"/>
          <w:szCs w:val="32"/>
        </w:rPr>
        <w:t>一、单位概况</w:t>
      </w: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（一）主要职能</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（1）贯彻执行民政工作的法律、法规、规章。研究起草有关民政的规范性文件，制定全市民政事业发展规划和政策并组织实施。 </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（2）负责全市社会团体、基金会和民办非企业单位的登记和监督管理。 </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3）牵头拟订全市社会救助规划、政策和标准。统筹社会救助体系建设，指导和监督全市实施特困人员供养、城乡居民最低生活保障、临时救助、生活无着人员救助工作。指导社会救助家庭经济状况核对工作。承担全市革命老区建设相关工作。 </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（4）负责行政区划管理。规范全市地名标志的设置和管理，负责全市标准地名资料的编辑和审定。负责行政区域界线的勘定和日常管理工作，调处行政区域边界争议。 </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5</w:t>
      </w:r>
      <w:r>
        <w:rPr>
          <w:rFonts w:hint="eastAsia" w:ascii="仿宋_GB2312" w:hAnsi="仿宋" w:eastAsia="仿宋_GB2312"/>
          <w:sz w:val="32"/>
          <w:szCs w:val="32"/>
        </w:rPr>
        <w:t xml:space="preserve">）拟订全市社会福利事业发展规划、政策。指导孤儿、残疾人等特殊困难群体的权益保障工作。负责收养登记工作。 </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6</w:t>
      </w:r>
      <w:r>
        <w:rPr>
          <w:rFonts w:hint="eastAsia" w:ascii="仿宋_GB2312" w:hAnsi="仿宋" w:eastAsia="仿宋_GB2312"/>
          <w:sz w:val="32"/>
          <w:szCs w:val="32"/>
        </w:rPr>
        <w:t xml:space="preserve">）拟订全市养老服务发展规划、政策和标准。指导全市养老服务体系建设，参与推动养老服务业发展。指导和管理城乡养老机构建设，指导居家养老服务工作。 </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7</w:t>
      </w:r>
      <w:r>
        <w:rPr>
          <w:rFonts w:hint="eastAsia" w:ascii="仿宋_GB2312" w:hAnsi="仿宋" w:eastAsia="仿宋_GB2312"/>
          <w:sz w:val="32"/>
          <w:szCs w:val="32"/>
        </w:rPr>
        <w:t>）负责殡葬管理和婚姻登记管理工作。</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8</w:t>
      </w:r>
      <w:r>
        <w:rPr>
          <w:rFonts w:hint="eastAsia" w:ascii="仿宋_GB2312" w:hAnsi="仿宋" w:eastAsia="仿宋_GB2312"/>
          <w:sz w:val="32"/>
          <w:szCs w:val="32"/>
        </w:rPr>
        <w:t xml:space="preserve">）拟订慈善事业发展规划、政策，主管慈善工作。 </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9</w:t>
      </w:r>
      <w:r>
        <w:rPr>
          <w:rFonts w:hint="eastAsia" w:ascii="仿宋_GB2312" w:hAnsi="仿宋" w:eastAsia="仿宋_GB2312"/>
          <w:sz w:val="32"/>
          <w:szCs w:val="32"/>
        </w:rPr>
        <w:t xml:space="preserve">）负责市级福利彩票公益金的管理工作。 </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0</w:t>
      </w:r>
      <w:r>
        <w:rPr>
          <w:rFonts w:hint="eastAsia" w:ascii="仿宋_GB2312" w:hAnsi="仿宋" w:eastAsia="仿宋_GB2312"/>
          <w:sz w:val="32"/>
          <w:szCs w:val="32"/>
        </w:rPr>
        <w:t>）负责民政事业规划财务和统计工作，指导、监督民政事业费的使用管理。</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1</w:t>
      </w:r>
      <w:r>
        <w:rPr>
          <w:rFonts w:hint="eastAsia" w:ascii="仿宋_GB2312" w:hAnsi="仿宋" w:eastAsia="仿宋_GB2312"/>
          <w:sz w:val="32"/>
          <w:szCs w:val="32"/>
        </w:rPr>
        <w:t xml:space="preserve">）完成市委、市政府交办的其他任务。 </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2</w:t>
      </w:r>
      <w:r>
        <w:rPr>
          <w:rFonts w:hint="eastAsia" w:ascii="仿宋_GB2312" w:hAnsi="仿宋" w:eastAsia="仿宋_GB2312"/>
          <w:sz w:val="32"/>
          <w:szCs w:val="32"/>
        </w:rPr>
        <w:t xml:space="preserve">）职能转变。坚持以人民为中心的发展思想，深化“最多跑一次”改革，强化基本民生保障职能，为困难群众、孤老孤残孤儿等特殊群体提供基本社会服务。 </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3</w:t>
      </w:r>
      <w:r>
        <w:rPr>
          <w:rFonts w:hint="eastAsia" w:ascii="仿宋_GB2312" w:hAnsi="仿宋" w:eastAsia="仿宋_GB2312"/>
          <w:sz w:val="32"/>
          <w:szCs w:val="32"/>
        </w:rPr>
        <w:t>）组织拟订并协调落实应对人口老龄化政策措施，负责推进老年健康服务体系建设和医养结合工作等职责。</w:t>
      </w:r>
    </w:p>
    <w:p>
      <w:pPr>
        <w:spacing w:line="520" w:lineRule="exact"/>
        <w:ind w:firstLine="627" w:firstLineChars="196"/>
        <w:rPr>
          <w:rFonts w:ascii="楷体_GB2312" w:hAnsi="楷体_GB2312" w:eastAsia="楷体_GB2312" w:cs="楷体_GB2312"/>
          <w:bCs/>
          <w:sz w:val="32"/>
          <w:szCs w:val="32"/>
        </w:rPr>
      </w:pPr>
      <w:bookmarkStart w:id="0" w:name="_GoBack"/>
      <w:bookmarkEnd w:id="0"/>
      <w:r>
        <w:rPr>
          <w:rFonts w:hint="eastAsia" w:ascii="楷体_GB2312" w:hAnsi="楷体_GB2312" w:eastAsia="楷体_GB2312" w:cs="楷体_GB2312"/>
          <w:bCs/>
          <w:sz w:val="32"/>
          <w:szCs w:val="32"/>
        </w:rPr>
        <w:t>（二）单位机构设置情况</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textAlignment w:val="auto"/>
        <w:outlineLvl w:val="9"/>
        <w:rPr>
          <w:rFonts w:hint="eastAsia" w:ascii="仿宋_GB2312" w:eastAsia="仿宋_GB2312"/>
          <w:bCs/>
          <w:sz w:val="32"/>
          <w:szCs w:val="32"/>
        </w:rPr>
      </w:pPr>
      <w:r>
        <w:rPr>
          <w:rFonts w:hint="eastAsia" w:ascii="仿宋_GB2312" w:eastAsia="仿宋_GB2312"/>
          <w:bCs/>
          <w:sz w:val="32"/>
          <w:szCs w:val="32"/>
        </w:rPr>
        <w:t>从预算单位构成看，</w:t>
      </w:r>
      <w:r>
        <w:rPr>
          <w:rFonts w:hint="eastAsia" w:ascii="仿宋_GB2312" w:eastAsia="仿宋_GB2312"/>
          <w:bCs/>
          <w:sz w:val="32"/>
          <w:szCs w:val="32"/>
          <w:lang w:eastAsia="zh-CN"/>
        </w:rPr>
        <w:t>丽水市</w:t>
      </w:r>
      <w:r>
        <w:rPr>
          <w:rFonts w:hint="eastAsia" w:ascii="仿宋_GB2312" w:eastAsia="仿宋_GB2312"/>
          <w:bCs/>
          <w:sz w:val="32"/>
          <w:szCs w:val="32"/>
        </w:rPr>
        <w:t>民政局（本级）预算包括：办公室（行政审批处）、社会福利救助处（区划地名处）、社会事务处（社会组织管理局）、</w:t>
      </w:r>
      <w:r>
        <w:rPr>
          <w:rFonts w:hint="eastAsia" w:ascii="仿宋_GB2312" w:eastAsia="仿宋_GB2312"/>
          <w:bCs/>
          <w:sz w:val="32"/>
          <w:szCs w:val="32"/>
          <w:lang w:val="en-US" w:eastAsia="zh-CN"/>
        </w:rPr>
        <w:t>老龄工作和养老服务处、</w:t>
      </w:r>
      <w:r>
        <w:rPr>
          <w:rFonts w:hint="eastAsia" w:ascii="仿宋_GB2312" w:eastAsia="仿宋_GB2312"/>
          <w:bCs/>
          <w:sz w:val="32"/>
          <w:szCs w:val="32"/>
        </w:rPr>
        <w:t>直属机关党委的预算。</w:t>
      </w:r>
    </w:p>
    <w:p>
      <w:pPr>
        <w:spacing w:line="520" w:lineRule="exact"/>
        <w:rPr>
          <w:rFonts w:ascii="楷体_GB2312" w:hAnsi="楷体_GB2312" w:eastAsia="楷体_GB2312" w:cs="楷体_GB2312"/>
          <w:color w:val="000000"/>
          <w:sz w:val="32"/>
          <w:szCs w:val="32"/>
        </w:rPr>
      </w:pPr>
      <w:r>
        <w:rPr>
          <w:rStyle w:val="9"/>
          <w:rFonts w:hint="eastAsia" w:ascii="黑体" w:eastAsia="黑体"/>
          <w:b w:val="0"/>
          <w:color w:val="000000"/>
          <w:sz w:val="32"/>
          <w:szCs w:val="32"/>
        </w:rPr>
        <w:t>二、</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丽水市民政局单位预算安排情况说明</w:t>
      </w:r>
      <w:r>
        <w:rPr>
          <w:rFonts w:hint="eastAsia"/>
          <w:color w:val="000000"/>
          <w:sz w:val="32"/>
          <w:szCs w:val="32"/>
        </w:rPr>
        <w:br w:type="textWrapping"/>
      </w:r>
      <w:r>
        <w:rPr>
          <w:rFonts w:hint="eastAsia" w:ascii="仿宋_GB2312" w:eastAsia="仿宋_GB2312"/>
          <w:b/>
          <w:bCs/>
          <w:color w:val="000000"/>
          <w:sz w:val="32"/>
          <w:szCs w:val="32"/>
        </w:rPr>
        <w:t>　　</w:t>
      </w:r>
      <w:r>
        <w:rPr>
          <w:rFonts w:hint="eastAsia" w:ascii="楷体_GB2312" w:hAnsi="楷体_GB2312" w:eastAsia="楷体_GB2312" w:cs="楷体_GB2312"/>
          <w:color w:val="000000"/>
          <w:sz w:val="32"/>
          <w:szCs w:val="32"/>
        </w:rPr>
        <w:t>（一）关于丽水市民政局</w:t>
      </w:r>
      <w:r>
        <w:rPr>
          <w:rStyle w:val="9"/>
          <w:rFonts w:hint="eastAsia" w:ascii="楷体_GB2312" w:hAnsi="楷体_GB2312" w:eastAsia="楷体_GB2312" w:cs="楷体_GB2312"/>
          <w:b w:val="0"/>
          <w:bCs w:val="0"/>
          <w:color w:val="000000"/>
          <w:sz w:val="32"/>
          <w:szCs w:val="32"/>
          <w:lang w:eastAsia="zh-CN"/>
        </w:rPr>
        <w:t>2025年</w:t>
      </w:r>
      <w:r>
        <w:rPr>
          <w:rStyle w:val="9"/>
          <w:rFonts w:hint="eastAsia" w:ascii="楷体_GB2312" w:hAnsi="楷体_GB2312" w:eastAsia="楷体_GB2312" w:cs="楷体_GB2312"/>
          <w:b w:val="0"/>
          <w:bCs w:val="0"/>
          <w:color w:val="000000"/>
          <w:sz w:val="32"/>
          <w:szCs w:val="32"/>
        </w:rPr>
        <w:t>收支预算情况的总体说明</w:t>
      </w:r>
    </w:p>
    <w:p>
      <w:pPr>
        <w:spacing w:line="520" w:lineRule="exact"/>
        <w:rPr>
          <w:rFonts w:ascii="楷体_GB2312" w:hAnsi="楷体_GB2312" w:eastAsia="楷体_GB2312" w:cs="楷体_GB2312"/>
          <w:b/>
          <w:color w:val="000000"/>
          <w:sz w:val="32"/>
          <w:szCs w:val="32"/>
        </w:rPr>
      </w:pPr>
      <w:r>
        <w:rPr>
          <w:rFonts w:hint="eastAsia" w:ascii="仿宋_GB2312" w:eastAsia="仿宋_GB2312"/>
          <w:bCs/>
          <w:color w:val="000000"/>
          <w:sz w:val="32"/>
          <w:szCs w:val="32"/>
        </w:rPr>
        <w:t xml:space="preserve">    按照</w:t>
      </w:r>
      <w:r>
        <w:rPr>
          <w:rFonts w:hint="eastAsia" w:ascii="仿宋_GB2312" w:eastAsia="仿宋_GB2312"/>
          <w:bCs/>
          <w:sz w:val="32"/>
          <w:szCs w:val="32"/>
        </w:rPr>
        <w:t>综合预算的原则，丽水市民政局</w:t>
      </w:r>
      <w:r>
        <w:rPr>
          <w:rFonts w:hint="eastAsia" w:ascii="仿宋_GB2312" w:eastAsia="仿宋_GB2312"/>
          <w:color w:val="000000"/>
          <w:sz w:val="32"/>
          <w:szCs w:val="32"/>
        </w:rPr>
        <w:t>所有收入和支出均纳入部门预算管理。收入包括：一般公共预算拨款收入、政府性基金预算收入；支出包括：科学技术支出、社会保障和就业支出、卫生健康支出、城乡社区支出、其他支出。丽水市民政局</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收支总预算4174.39万元。</w:t>
      </w:r>
    </w:p>
    <w:p>
      <w:pPr>
        <w:spacing w:line="520" w:lineRule="exact"/>
        <w:ind w:firstLine="642"/>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（二）关于丽水市民政局</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收入预算情况说明</w:t>
      </w:r>
    </w:p>
    <w:p>
      <w:pPr>
        <w:spacing w:line="520" w:lineRule="exact"/>
        <w:ind w:firstLine="642"/>
        <w:rPr>
          <w:rFonts w:ascii="仿宋_GB2312" w:eastAsia="仿宋_GB2312"/>
          <w:color w:val="000000"/>
          <w:sz w:val="32"/>
          <w:szCs w:val="32"/>
          <w:highlight w:val="none"/>
        </w:rPr>
      </w:pPr>
      <w:r>
        <w:rPr>
          <w:rFonts w:hint="eastAsia" w:ascii="仿宋_GB2312" w:hAnsi="仿宋_GB2312" w:eastAsia="仿宋_GB2312" w:cs="仿宋_GB2312"/>
          <w:color w:val="000000"/>
          <w:sz w:val="32"/>
          <w:szCs w:val="32"/>
          <w:highlight w:val="none"/>
        </w:rPr>
        <w:t>丽水市民政局</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收入预算4174.39万元，比上年执行数增加</w:t>
      </w:r>
      <w:r>
        <w:rPr>
          <w:rFonts w:hint="eastAsia" w:ascii="仿宋_GB2312" w:hAnsi="仿宋_GB2312" w:eastAsia="仿宋_GB2312" w:cs="仿宋_GB2312"/>
          <w:color w:val="000000"/>
          <w:sz w:val="32"/>
          <w:szCs w:val="32"/>
          <w:highlight w:val="none"/>
          <w:lang w:val="en-US" w:eastAsia="zh-CN"/>
        </w:rPr>
        <w:t>854.38</w:t>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highlight w:val="none"/>
        </w:rPr>
        <w:t>增</w:t>
      </w:r>
      <w:r>
        <w:rPr>
          <w:rFonts w:hint="eastAsia" w:ascii="仿宋_GB2312" w:hAnsi="仿宋_GB2312" w:eastAsia="仿宋_GB2312" w:cs="仿宋_GB2312"/>
          <w:color w:val="000000"/>
          <w:sz w:val="32"/>
          <w:szCs w:val="32"/>
          <w:highlight w:val="none"/>
        </w:rPr>
        <w:t>长</w:t>
      </w:r>
      <w:r>
        <w:rPr>
          <w:rFonts w:hint="eastAsia" w:ascii="仿宋_GB2312" w:hAnsi="仿宋_GB2312" w:eastAsia="仿宋_GB2312" w:cs="仿宋_GB2312"/>
          <w:color w:val="000000"/>
          <w:sz w:val="32"/>
          <w:szCs w:val="32"/>
          <w:highlight w:val="none"/>
          <w:lang w:val="en-US" w:eastAsia="zh-CN"/>
        </w:rPr>
        <w:t>25.73</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szCs w:val="32"/>
          <w:highlight w:val="none"/>
        </w:rPr>
        <w:t>主要是</w:t>
      </w:r>
      <w:r>
        <w:rPr>
          <w:rFonts w:hint="eastAsia" w:ascii="仿宋_GB2312" w:hAnsi="仿宋_GB2312" w:eastAsia="仿宋_GB2312" w:cs="仿宋_GB2312"/>
          <w:color w:val="000000"/>
          <w:sz w:val="32"/>
          <w:szCs w:val="32"/>
          <w:highlight w:val="none"/>
          <w:lang w:val="en-US" w:eastAsia="zh-CN"/>
        </w:rPr>
        <w:t>政府性基金预算收入增加</w:t>
      </w:r>
      <w:r>
        <w:rPr>
          <w:rFonts w:hint="eastAsia" w:ascii="仿宋_GB2312" w:hAnsi="仿宋_GB2312" w:eastAsia="仿宋_GB2312" w:cs="仿宋_GB2312"/>
          <w:color w:val="000000"/>
          <w:sz w:val="32"/>
          <w:szCs w:val="32"/>
          <w:highlight w:val="none"/>
        </w:rPr>
        <w:t>。</w:t>
      </w:r>
    </w:p>
    <w:p>
      <w:pPr>
        <w:spacing w:line="520" w:lineRule="exact"/>
        <w:ind w:firstLine="642"/>
        <w:rPr>
          <w:rFonts w:ascii="仿宋_GB2312" w:eastAsia="仿宋_GB2312"/>
          <w:color w:val="000000"/>
          <w:sz w:val="32"/>
          <w:szCs w:val="32"/>
          <w:highlight w:val="none"/>
        </w:rPr>
      </w:pPr>
      <w:r>
        <w:rPr>
          <w:rFonts w:hint="eastAsia" w:ascii="仿宋_GB2312" w:eastAsia="仿宋_GB2312"/>
          <w:color w:val="000000"/>
          <w:sz w:val="32"/>
          <w:szCs w:val="32"/>
        </w:rPr>
        <w:t>其中：一般公共预算拨款收入</w:t>
      </w:r>
      <w:r>
        <w:rPr>
          <w:rFonts w:ascii="仿宋_GB2312" w:eastAsia="仿宋_GB2312"/>
          <w:color w:val="000000"/>
          <w:sz w:val="32"/>
          <w:szCs w:val="32"/>
        </w:rPr>
        <w:t>2117.01</w:t>
      </w:r>
      <w:r>
        <w:rPr>
          <w:rFonts w:hint="eastAsia" w:ascii="仿宋_GB2312" w:eastAsia="仿宋_GB2312"/>
          <w:color w:val="000000"/>
          <w:sz w:val="32"/>
          <w:szCs w:val="32"/>
        </w:rPr>
        <w:t>万元（上年结转0.00万元），占50.7%；政府性基金收入</w:t>
      </w:r>
      <w:r>
        <w:rPr>
          <w:rFonts w:ascii="仿宋_GB2312" w:eastAsia="仿宋_GB2312"/>
          <w:color w:val="000000"/>
          <w:sz w:val="32"/>
          <w:szCs w:val="32"/>
        </w:rPr>
        <w:t>2057.38</w:t>
      </w:r>
      <w:r>
        <w:rPr>
          <w:rFonts w:hint="eastAsia" w:ascii="仿宋_GB2312" w:eastAsia="仿宋_GB2312"/>
          <w:color w:val="000000"/>
          <w:sz w:val="32"/>
          <w:szCs w:val="32"/>
        </w:rPr>
        <w:t>万元（上年结转619.08万元），占49.3%。</w:t>
      </w:r>
      <w:r>
        <w:rPr>
          <w:rFonts w:hint="eastAsia" w:ascii="仿宋_GB2312" w:eastAsia="仿宋_GB2312"/>
          <w:color w:val="000000"/>
          <w:sz w:val="32"/>
          <w:szCs w:val="32"/>
        </w:rPr>
        <w:br w:type="textWrapping"/>
      </w:r>
      <w:r>
        <w:rPr>
          <w:rFonts w:hint="eastAsia" w:ascii="楷体_GB2312" w:hAnsi="楷体_GB2312" w:eastAsia="楷体_GB2312" w:cs="楷体_GB2312"/>
          <w:bCs/>
          <w:color w:val="000000"/>
          <w:sz w:val="32"/>
          <w:szCs w:val="32"/>
        </w:rPr>
        <w:t>　　（三）关于丽水市民政局</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支出预算情况说明</w:t>
      </w:r>
      <w:r>
        <w:rPr>
          <w:rFonts w:hint="eastAsia" w:ascii="楷体_GB2312" w:hAnsi="楷体_GB2312" w:eastAsia="楷体_GB2312" w:cs="楷体_GB2312"/>
          <w:bCs/>
          <w:color w:val="000000"/>
          <w:sz w:val="32"/>
          <w:szCs w:val="32"/>
        </w:rPr>
        <w:br w:type="textWrapping"/>
      </w:r>
      <w:r>
        <w:rPr>
          <w:rFonts w:hint="eastAsia" w:ascii="仿宋_GB2312" w:eastAsia="仿宋_GB2312"/>
          <w:color w:val="000000"/>
          <w:sz w:val="32"/>
          <w:szCs w:val="32"/>
        </w:rPr>
        <w:t>　</w:t>
      </w:r>
      <w:r>
        <w:rPr>
          <w:rFonts w:hint="eastAsia" w:ascii="仿宋_GB2312" w:hAnsi="仿宋_GB2312" w:eastAsia="仿宋_GB2312" w:cs="仿宋_GB2312"/>
          <w:color w:val="000000"/>
          <w:sz w:val="32"/>
          <w:szCs w:val="32"/>
        </w:rPr>
        <w:t>　丽水市民政局</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支出预算4174.39万元，比上年执行数增加</w:t>
      </w:r>
      <w:r>
        <w:rPr>
          <w:rFonts w:hint="eastAsia" w:ascii="仿宋_GB2312" w:hAnsi="仿宋_GB2312" w:eastAsia="仿宋_GB2312" w:cs="仿宋_GB2312"/>
          <w:color w:val="000000"/>
          <w:sz w:val="32"/>
          <w:szCs w:val="32"/>
          <w:highlight w:val="none"/>
          <w:lang w:val="en-US" w:eastAsia="zh-CN"/>
        </w:rPr>
        <w:t>854.38</w:t>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highlight w:val="none"/>
        </w:rPr>
        <w:t>增长</w:t>
      </w:r>
      <w:r>
        <w:rPr>
          <w:rFonts w:hint="eastAsia" w:ascii="仿宋_GB2312" w:hAnsi="仿宋_GB2312" w:eastAsia="仿宋_GB2312" w:cs="仿宋_GB2312"/>
          <w:color w:val="000000"/>
          <w:sz w:val="32"/>
          <w:highlight w:val="none"/>
          <w:lang w:val="en-US" w:eastAsia="zh-CN"/>
        </w:rPr>
        <w:t>25.73</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szCs w:val="32"/>
          <w:highlight w:val="none"/>
        </w:rPr>
        <w:t>主要是</w:t>
      </w:r>
      <w:r>
        <w:rPr>
          <w:rFonts w:hint="eastAsia" w:ascii="仿宋_GB2312" w:hAnsi="仿宋_GB2312" w:eastAsia="仿宋_GB2312" w:cs="仿宋_GB2312"/>
          <w:color w:val="000000"/>
          <w:sz w:val="32"/>
          <w:szCs w:val="32"/>
          <w:highlight w:val="none"/>
          <w:lang w:val="en-US" w:eastAsia="zh-CN"/>
        </w:rPr>
        <w:t>政府性基金预算支出增加</w:t>
      </w:r>
      <w:r>
        <w:rPr>
          <w:rFonts w:hint="eastAsia" w:ascii="仿宋_GB2312" w:hAnsi="仿宋_GB2312" w:eastAsia="仿宋_GB2312" w:cs="仿宋_GB2312"/>
          <w:color w:val="000000"/>
          <w:sz w:val="32"/>
          <w:szCs w:val="32"/>
          <w:highlight w:val="none"/>
        </w:rPr>
        <w:t>。</w:t>
      </w:r>
    </w:p>
    <w:p>
      <w:pPr>
        <w:spacing w:line="520" w:lineRule="exact"/>
        <w:ind w:firstLine="630"/>
        <w:rPr>
          <w:rFonts w:ascii="仿宋_GB2312" w:eastAsia="仿宋_GB2312"/>
          <w:color w:val="000000"/>
          <w:sz w:val="32"/>
          <w:szCs w:val="32"/>
        </w:rPr>
      </w:pPr>
      <w:r>
        <w:rPr>
          <w:rFonts w:hint="eastAsia" w:ascii="仿宋_GB2312" w:eastAsia="仿宋_GB2312"/>
          <w:color w:val="000000"/>
          <w:sz w:val="32"/>
          <w:szCs w:val="32"/>
        </w:rPr>
        <w:t>1.按支出功能分类，包括科学技术支出3.00万元、社会保障和就业支出2036.85万元、卫生健康支出77.16万元、城乡社区支出466.30万元、其他支出1591.08万元。</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2.按支出用途分类，包括人员支出766.21万元，占18.4%；日常公用支出161.26万元，占3.9%；项目支出3246.91万元，占77.8%。</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年终结转结余0.00万元。</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（四）关于丽水市民政局</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财政拨款收支预算情况的总体说明</w:t>
      </w:r>
    </w:p>
    <w:p>
      <w:pPr>
        <w:spacing w:line="520" w:lineRule="exact"/>
        <w:ind w:firstLine="640"/>
        <w:rPr>
          <w:rFonts w:ascii="仿宋_GB2312" w:eastAsia="仿宋_GB2312"/>
          <w:color w:val="000000"/>
          <w:sz w:val="32"/>
          <w:szCs w:val="32"/>
        </w:rPr>
      </w:pPr>
      <w:r>
        <w:rPr>
          <w:rFonts w:hint="eastAsia" w:ascii="仿宋_GB2312" w:eastAsia="仿宋_GB2312"/>
          <w:color w:val="000000"/>
          <w:sz w:val="32"/>
          <w:szCs w:val="32"/>
        </w:rPr>
        <w:t>丽水市民政局</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财政拨款收支总预算4174.39万元。收入包括：一般公共预算2117.01万元、政府性基金2057.38万元；支出包括：科学技术支出3.00万元、社会保障和就业支出2036.85万元、卫生健康支出77.16万元、城乡社区支出466.30万元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其他支出1591.08万元。</w:t>
      </w:r>
    </w:p>
    <w:p>
      <w:pPr>
        <w:numPr>
          <w:ilvl w:val="0"/>
          <w:numId w:val="1"/>
        </w:numPr>
        <w:spacing w:line="520" w:lineRule="exact"/>
        <w:ind w:firstLine="640"/>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关于丽水市民政局</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一般公共预算拨款情况说明</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1.一般公共预算拨款规模变化情况。</w:t>
      </w:r>
    </w:p>
    <w:p>
      <w:pPr>
        <w:spacing w:line="520" w:lineRule="exact"/>
        <w:ind w:firstLine="642"/>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丽水市民政局</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一般公共预算拨款</w:t>
      </w:r>
      <w:r>
        <w:rPr>
          <w:rFonts w:hint="eastAsia" w:ascii="仿宋_GB2312" w:hAnsi="仿宋_GB2312" w:eastAsia="仿宋_GB2312" w:cs="仿宋_GB2312"/>
          <w:bCs/>
          <w:color w:val="000000"/>
          <w:sz w:val="32"/>
          <w:szCs w:val="32"/>
          <w:highlight w:val="none"/>
        </w:rPr>
        <w:t>2117.01</w:t>
      </w:r>
      <w:r>
        <w:rPr>
          <w:rFonts w:hint="eastAsia" w:ascii="仿宋_GB2312" w:hAnsi="仿宋_GB2312" w:eastAsia="仿宋_GB2312" w:cs="仿宋_GB2312"/>
          <w:color w:val="000000"/>
          <w:sz w:val="32"/>
          <w:szCs w:val="32"/>
          <w:highlight w:val="none"/>
        </w:rPr>
        <w:t>万元，比上年执行数减少</w:t>
      </w:r>
      <w:r>
        <w:rPr>
          <w:rFonts w:hint="eastAsia" w:ascii="仿宋_GB2312" w:hAnsi="仿宋_GB2312" w:eastAsia="仿宋_GB2312" w:cs="仿宋_GB2312"/>
          <w:color w:val="000000"/>
          <w:sz w:val="32"/>
          <w:szCs w:val="32"/>
          <w:highlight w:val="none"/>
          <w:lang w:val="en-US" w:eastAsia="zh-CN"/>
        </w:rPr>
        <w:t>53.3</w:t>
      </w:r>
      <w:r>
        <w:rPr>
          <w:rFonts w:hint="eastAsia" w:ascii="仿宋_GB2312" w:hAnsi="仿宋_GB2312" w:eastAsia="仿宋_GB2312" w:cs="仿宋_GB2312"/>
          <w:color w:val="000000"/>
          <w:sz w:val="32"/>
          <w:szCs w:val="32"/>
          <w:highlight w:val="none"/>
        </w:rPr>
        <w:t>万元，下</w:t>
      </w:r>
      <w:r>
        <w:rPr>
          <w:rFonts w:hint="eastAsia" w:ascii="仿宋_GB2312" w:hAnsi="仿宋_GB2312" w:eastAsia="仿宋_GB2312" w:cs="仿宋_GB2312"/>
          <w:color w:val="000000"/>
          <w:sz w:val="32"/>
          <w:highlight w:val="none"/>
        </w:rPr>
        <w:t>降</w:t>
      </w:r>
      <w:r>
        <w:rPr>
          <w:rFonts w:hint="eastAsia" w:ascii="仿宋_GB2312" w:hAnsi="仿宋_GB2312" w:eastAsia="仿宋_GB2312" w:cs="仿宋_GB2312"/>
          <w:color w:val="000000"/>
          <w:sz w:val="32"/>
          <w:highlight w:val="none"/>
          <w:lang w:val="en-US" w:eastAsia="zh-CN"/>
        </w:rPr>
        <w:t>2.46</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szCs w:val="32"/>
          <w:highlight w:val="none"/>
        </w:rPr>
        <w:t>主要是</w:t>
      </w:r>
      <w:r>
        <w:rPr>
          <w:rFonts w:hint="eastAsia" w:ascii="仿宋_GB2312" w:hAnsi="仿宋_GB2312" w:eastAsia="仿宋_GB2312" w:cs="仿宋_GB2312"/>
          <w:color w:val="000000"/>
          <w:sz w:val="32"/>
          <w:szCs w:val="32"/>
          <w:highlight w:val="none"/>
          <w:lang w:val="en-US" w:eastAsia="zh-CN"/>
        </w:rPr>
        <w:t>科学技术支出减少</w:t>
      </w:r>
      <w:r>
        <w:rPr>
          <w:rFonts w:hint="eastAsia" w:ascii="仿宋_GB2312" w:hAnsi="仿宋_GB2312" w:eastAsia="仿宋_GB2312" w:cs="仿宋_GB2312"/>
          <w:color w:val="000000"/>
          <w:sz w:val="32"/>
          <w:szCs w:val="32"/>
          <w:highlight w:val="none"/>
        </w:rPr>
        <w:t>。</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2.一般公共预算拨款结构情况。</w:t>
      </w:r>
    </w:p>
    <w:p>
      <w:pPr>
        <w:spacing w:line="520" w:lineRule="exact"/>
        <w:ind w:firstLine="640" w:firstLineChars="200"/>
        <w:rPr>
          <w:rFonts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科学技术支出3.00万元，占0.1%；社会保障和就业支出2036.85万元，占96.2%；卫生健康支出77.16万元，占3.6%。</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3.一般公共预算拨款具体使用情况。</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eastAsia="仿宋_GB2312"/>
          <w:color w:val="000000"/>
          <w:sz w:val="32"/>
          <w:szCs w:val="32"/>
        </w:rPr>
        <w:t>（1）</w:t>
      </w:r>
      <w:r>
        <w:rPr>
          <w:rFonts w:hint="eastAsia" w:ascii="仿宋_GB2312" w:hAnsi="宋体" w:eastAsia="仿宋_GB2312" w:cs="宋体"/>
          <w:color w:val="000000"/>
          <w:kern w:val="0"/>
          <w:sz w:val="32"/>
          <w:szCs w:val="32"/>
        </w:rPr>
        <w:t>科学技术支出（类）-其他科学技术支出（款）-其他科学技术支出（项）为</w:t>
      </w: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万元，主要用于“绿谷英才”政策经费（人才发展）支出。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（2）社会保障和就业支出（类）-民政管理事务（款）-行政运行（项）为</w:t>
      </w:r>
      <w:r>
        <w:rPr>
          <w:rFonts w:hint="eastAsia" w:ascii="仿宋_GB2312" w:hAnsi="宋体" w:eastAsia="仿宋_GB2312" w:cs="宋体"/>
          <w:color w:val="000000"/>
          <w:kern w:val="0"/>
          <w:sz w:val="32"/>
          <w:szCs w:val="32"/>
          <w:lang w:val="en-US" w:eastAsia="zh-CN"/>
        </w:rPr>
        <w:t>763.18</w:t>
      </w:r>
      <w:r>
        <w:rPr>
          <w:rFonts w:hint="eastAsia" w:ascii="仿宋_GB2312" w:hAnsi="宋体" w:eastAsia="仿宋_GB2312" w:cs="宋体"/>
          <w:color w:val="000000"/>
          <w:kern w:val="0"/>
          <w:sz w:val="32"/>
          <w:szCs w:val="32"/>
        </w:rPr>
        <w:t>万元，主要用于丽水市民政局的基本支出。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）社会保障和就业支出（类）-民政管理事务（款）-其他民政管理事务支出（项）为</w:t>
      </w:r>
      <w:r>
        <w:rPr>
          <w:rFonts w:hint="eastAsia" w:ascii="仿宋_GB2312" w:hAnsi="宋体" w:eastAsia="仿宋_GB2312" w:cs="宋体"/>
          <w:color w:val="000000"/>
          <w:kern w:val="0"/>
          <w:sz w:val="32"/>
          <w:szCs w:val="32"/>
          <w:lang w:val="en-US" w:eastAsia="zh-CN"/>
        </w:rPr>
        <w:t>127.7</w:t>
      </w:r>
      <w:r>
        <w:rPr>
          <w:rFonts w:hint="eastAsia" w:ascii="仿宋_GB2312" w:hAnsi="宋体" w:eastAsia="仿宋_GB2312" w:cs="宋体"/>
          <w:color w:val="000000"/>
          <w:kern w:val="0"/>
          <w:sz w:val="32"/>
          <w:szCs w:val="32"/>
        </w:rPr>
        <w:t>万元，主要用于丽水市民政局开展婚姻、收养登记、老区开发建设促进、门路牌安装</w:t>
      </w:r>
      <w:r>
        <w:rPr>
          <w:rFonts w:hint="eastAsia" w:ascii="仿宋_GB2312" w:hAnsi="宋体" w:eastAsia="仿宋_GB2312" w:cs="宋体"/>
          <w:color w:val="000000"/>
          <w:kern w:val="0"/>
          <w:sz w:val="32"/>
          <w:szCs w:val="32"/>
          <w:lang w:eastAsia="zh-CN"/>
        </w:rPr>
        <w:t>、信息化建设</w:t>
      </w:r>
      <w:r>
        <w:rPr>
          <w:rFonts w:hint="eastAsia" w:ascii="仿宋_GB2312" w:hAnsi="宋体" w:eastAsia="仿宋_GB2312" w:cs="宋体"/>
          <w:color w:val="000000"/>
          <w:kern w:val="0"/>
          <w:sz w:val="32"/>
          <w:szCs w:val="32"/>
        </w:rPr>
        <w:t>及其他业务工作方面的支出。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rPr>
        <w:t>）社会保障和就业支出（类）-行政事业单位养老支出（款）-机关事业单位基本养老保险缴费支出（项）为</w:t>
      </w:r>
      <w:r>
        <w:rPr>
          <w:rFonts w:hint="eastAsia" w:ascii="仿宋_GB2312" w:hAnsi="宋体" w:eastAsia="仿宋_GB2312" w:cs="宋体"/>
          <w:color w:val="000000"/>
          <w:kern w:val="0"/>
          <w:sz w:val="32"/>
          <w:szCs w:val="32"/>
          <w:lang w:val="en-US" w:eastAsia="zh-CN"/>
        </w:rPr>
        <w:t>53.83</w:t>
      </w:r>
      <w:r>
        <w:rPr>
          <w:rFonts w:hint="eastAsia" w:ascii="仿宋_GB2312" w:hAnsi="宋体" w:eastAsia="仿宋_GB2312" w:cs="宋体"/>
          <w:color w:val="000000"/>
          <w:kern w:val="0"/>
          <w:sz w:val="32"/>
          <w:szCs w:val="32"/>
        </w:rPr>
        <w:t>万元，主要用于丽水市民政局实施养老保险制度由单位缴纳的基本养老保险支出。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val="en-US" w:eastAsia="zh-CN"/>
        </w:rPr>
        <w:t>5</w:t>
      </w:r>
      <w:r>
        <w:rPr>
          <w:rFonts w:hint="eastAsia" w:ascii="仿宋_GB2312" w:hAnsi="宋体" w:eastAsia="仿宋_GB2312" w:cs="宋体"/>
          <w:color w:val="000000"/>
          <w:kern w:val="0"/>
          <w:sz w:val="32"/>
          <w:szCs w:val="32"/>
        </w:rPr>
        <w:t>）社会保障和就业支出（类）-行政事业单位养老支出（款）-机关事业单位职业年金缴费支出（项）为</w:t>
      </w:r>
      <w:r>
        <w:rPr>
          <w:rFonts w:hint="eastAsia" w:ascii="仿宋_GB2312" w:hAnsi="宋体" w:eastAsia="仿宋_GB2312" w:cs="宋体"/>
          <w:color w:val="000000"/>
          <w:kern w:val="0"/>
          <w:sz w:val="32"/>
          <w:szCs w:val="32"/>
          <w:lang w:val="en-US" w:eastAsia="zh-CN"/>
        </w:rPr>
        <w:t>26.92</w:t>
      </w:r>
      <w:r>
        <w:rPr>
          <w:rFonts w:hint="eastAsia" w:ascii="仿宋_GB2312" w:hAnsi="宋体" w:eastAsia="仿宋_GB2312" w:cs="宋体"/>
          <w:color w:val="000000"/>
          <w:kern w:val="0"/>
          <w:sz w:val="32"/>
          <w:szCs w:val="32"/>
        </w:rPr>
        <w:t>万元，主要用于丽水市民政局实施养老保险制度由单位实际缴纳的职业年金支出。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val="en-US" w:eastAsia="zh-CN"/>
        </w:rPr>
        <w:t>6</w:t>
      </w:r>
      <w:r>
        <w:rPr>
          <w:rFonts w:hint="eastAsia" w:ascii="仿宋_GB2312" w:hAnsi="宋体" w:eastAsia="仿宋_GB2312" w:cs="宋体"/>
          <w:color w:val="000000"/>
          <w:kern w:val="0"/>
          <w:sz w:val="32"/>
          <w:szCs w:val="32"/>
        </w:rPr>
        <w:t>）社会保障和就业支出（类）-社会福利（款）-儿童福利（项）为</w:t>
      </w:r>
      <w:r>
        <w:rPr>
          <w:rFonts w:hint="eastAsia" w:ascii="仿宋_GB2312" w:hAnsi="宋体" w:eastAsia="仿宋_GB2312" w:cs="宋体"/>
          <w:color w:val="000000"/>
          <w:kern w:val="0"/>
          <w:sz w:val="32"/>
          <w:szCs w:val="32"/>
          <w:lang w:val="en-US" w:eastAsia="zh-CN"/>
        </w:rPr>
        <w:t>51</w:t>
      </w:r>
      <w:r>
        <w:rPr>
          <w:rFonts w:hint="eastAsia" w:ascii="仿宋_GB2312" w:hAnsi="宋体" w:eastAsia="仿宋_GB2312" w:cs="宋体"/>
          <w:color w:val="000000"/>
          <w:kern w:val="0"/>
          <w:sz w:val="32"/>
          <w:szCs w:val="32"/>
        </w:rPr>
        <w:t>万元，主要</w:t>
      </w:r>
      <w:r>
        <w:rPr>
          <w:rFonts w:hint="eastAsia" w:ascii="仿宋_GB2312" w:hAnsi="宋体" w:eastAsia="仿宋_GB2312" w:cs="宋体"/>
          <w:color w:val="000000"/>
          <w:kern w:val="0"/>
          <w:sz w:val="32"/>
          <w:szCs w:val="32"/>
          <w:lang w:val="en-US" w:eastAsia="zh-CN"/>
        </w:rPr>
        <w:t>用于</w:t>
      </w:r>
      <w:r>
        <w:rPr>
          <w:rFonts w:hint="eastAsia" w:ascii="仿宋_GB2312" w:hAnsi="宋体" w:eastAsia="仿宋_GB2312" w:cs="宋体"/>
          <w:color w:val="000000"/>
          <w:kern w:val="0"/>
          <w:sz w:val="32"/>
          <w:szCs w:val="32"/>
        </w:rPr>
        <w:t>南明山街道孤</w:t>
      </w:r>
      <w:r>
        <w:rPr>
          <w:rFonts w:hint="eastAsia" w:ascii="仿宋_GB2312" w:hAnsi="宋体" w:eastAsia="仿宋_GB2312" w:cs="宋体"/>
          <w:color w:val="000000"/>
          <w:kern w:val="0"/>
          <w:sz w:val="32"/>
          <w:szCs w:val="32"/>
          <w:lang w:val="en-US" w:eastAsia="zh-CN"/>
        </w:rPr>
        <w:t>困儿童</w:t>
      </w:r>
      <w:r>
        <w:rPr>
          <w:rFonts w:hint="eastAsia" w:ascii="仿宋_GB2312" w:hAnsi="宋体" w:eastAsia="仿宋_GB2312" w:cs="宋体"/>
          <w:color w:val="000000"/>
          <w:kern w:val="0"/>
          <w:sz w:val="32"/>
          <w:szCs w:val="32"/>
        </w:rPr>
        <w:t>补助方面的支出。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val="en-US" w:eastAsia="zh-CN"/>
        </w:rPr>
        <w:t>7</w:t>
      </w:r>
      <w:r>
        <w:rPr>
          <w:rFonts w:hint="eastAsia" w:ascii="仿宋_GB2312" w:hAnsi="宋体" w:eastAsia="仿宋_GB2312" w:cs="宋体"/>
          <w:color w:val="000000"/>
          <w:kern w:val="0"/>
          <w:sz w:val="32"/>
          <w:szCs w:val="32"/>
        </w:rPr>
        <w:t>）社会保障和就业支出（类）-社会福利（款）-老年福利（项）为</w:t>
      </w:r>
      <w:r>
        <w:rPr>
          <w:rFonts w:hint="eastAsia" w:ascii="仿宋_GB2312" w:hAnsi="宋体" w:eastAsia="仿宋_GB2312" w:cs="宋体"/>
          <w:color w:val="000000"/>
          <w:kern w:val="0"/>
          <w:sz w:val="32"/>
          <w:szCs w:val="32"/>
          <w:lang w:val="en-US" w:eastAsia="zh-CN"/>
        </w:rPr>
        <w:t>322.33</w:t>
      </w:r>
      <w:r>
        <w:rPr>
          <w:rFonts w:hint="eastAsia" w:ascii="仿宋_GB2312" w:hAnsi="宋体" w:eastAsia="仿宋_GB2312" w:cs="宋体"/>
          <w:color w:val="000000"/>
          <w:kern w:val="0"/>
          <w:sz w:val="32"/>
          <w:szCs w:val="32"/>
        </w:rPr>
        <w:t>万元，主要用于</w:t>
      </w:r>
      <w:r>
        <w:rPr>
          <w:rFonts w:hint="eastAsia" w:ascii="仿宋_GB2312" w:hAnsi="宋体" w:eastAsia="仿宋_GB2312" w:cs="宋体"/>
          <w:color w:val="000000"/>
          <w:kern w:val="0"/>
          <w:sz w:val="32"/>
          <w:szCs w:val="32"/>
          <w:lang w:val="en-US" w:eastAsia="zh-CN"/>
        </w:rPr>
        <w:t>老龄工作及合众养护院项目运营奖励</w:t>
      </w:r>
      <w:r>
        <w:rPr>
          <w:rFonts w:hint="eastAsia" w:ascii="仿宋_GB2312" w:hAnsi="宋体" w:eastAsia="仿宋_GB2312" w:cs="宋体"/>
          <w:color w:val="000000"/>
          <w:kern w:val="0"/>
          <w:sz w:val="32"/>
          <w:szCs w:val="32"/>
        </w:rPr>
        <w:t>等方面的支出。</w:t>
      </w:r>
    </w:p>
    <w:p>
      <w:pPr>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highlight w:val="none"/>
        </w:rPr>
        <w:t>（</w:t>
      </w:r>
      <w:r>
        <w:rPr>
          <w:rFonts w:hint="eastAsia" w:ascii="仿宋_GB2312" w:hAnsi="宋体" w:eastAsia="仿宋_GB2312" w:cs="宋体"/>
          <w:color w:val="000000"/>
          <w:kern w:val="0"/>
          <w:sz w:val="32"/>
          <w:szCs w:val="32"/>
          <w:highlight w:val="none"/>
          <w:lang w:val="en-US" w:eastAsia="zh-CN"/>
        </w:rPr>
        <w:t>8</w:t>
      </w:r>
      <w:r>
        <w:rPr>
          <w:rFonts w:hint="eastAsia" w:ascii="仿宋_GB2312" w:hAnsi="宋体" w:eastAsia="仿宋_GB2312" w:cs="宋体"/>
          <w:color w:val="000000"/>
          <w:kern w:val="0"/>
          <w:sz w:val="32"/>
          <w:szCs w:val="32"/>
          <w:highlight w:val="none"/>
        </w:rPr>
        <w:t>）社会保障和就业支出（类）-社会福利（款）-</w:t>
      </w:r>
      <w:r>
        <w:rPr>
          <w:rFonts w:hint="eastAsia" w:ascii="仿宋_GB2312" w:hAnsi="宋体" w:eastAsia="仿宋_GB2312" w:cs="宋体"/>
          <w:color w:val="000000"/>
          <w:kern w:val="0"/>
          <w:sz w:val="32"/>
          <w:szCs w:val="32"/>
          <w:highlight w:val="none"/>
          <w:lang w:val="en-US" w:eastAsia="zh-CN"/>
        </w:rPr>
        <w:t>养老服务</w:t>
      </w:r>
      <w:r>
        <w:rPr>
          <w:rFonts w:hint="eastAsia" w:ascii="仿宋_GB2312" w:hAnsi="宋体" w:eastAsia="仿宋_GB2312" w:cs="宋体"/>
          <w:color w:val="000000"/>
          <w:kern w:val="0"/>
          <w:sz w:val="32"/>
          <w:szCs w:val="32"/>
          <w:highlight w:val="none"/>
        </w:rPr>
        <w:t>（项）为</w:t>
      </w:r>
      <w:r>
        <w:rPr>
          <w:rFonts w:hint="eastAsia" w:ascii="仿宋_GB2312" w:hAnsi="宋体" w:eastAsia="仿宋_GB2312" w:cs="宋体"/>
          <w:color w:val="000000"/>
          <w:kern w:val="0"/>
          <w:sz w:val="32"/>
          <w:szCs w:val="32"/>
          <w:highlight w:val="none"/>
          <w:lang w:val="en-US" w:eastAsia="zh-CN"/>
        </w:rPr>
        <w:t>52</w:t>
      </w:r>
      <w:r>
        <w:rPr>
          <w:rFonts w:hint="eastAsia" w:ascii="仿宋_GB2312" w:hAnsi="宋体" w:eastAsia="仿宋_GB2312" w:cs="宋体"/>
          <w:color w:val="000000"/>
          <w:kern w:val="0"/>
          <w:sz w:val="32"/>
          <w:szCs w:val="32"/>
          <w:highlight w:val="none"/>
        </w:rPr>
        <w:t>万元，主要用于</w:t>
      </w:r>
      <w:r>
        <w:rPr>
          <w:rFonts w:hint="eastAsia" w:ascii="仿宋_GB2312" w:hAnsi="宋体" w:eastAsia="仿宋_GB2312" w:cs="宋体"/>
          <w:color w:val="000000"/>
          <w:kern w:val="0"/>
          <w:sz w:val="32"/>
          <w:szCs w:val="32"/>
          <w:highlight w:val="none"/>
          <w:lang w:val="en-US" w:eastAsia="zh-CN"/>
        </w:rPr>
        <w:t>养老机构床位运营补助支出等</w:t>
      </w:r>
      <w:r>
        <w:rPr>
          <w:rFonts w:hint="eastAsia" w:ascii="仿宋_GB2312" w:hAnsi="宋体" w:eastAsia="仿宋_GB2312" w:cs="宋体"/>
          <w:color w:val="000000"/>
          <w:kern w:val="0"/>
          <w:sz w:val="32"/>
          <w:szCs w:val="32"/>
          <w:highlight w:val="none"/>
        </w:rPr>
        <w:t>。</w:t>
      </w:r>
    </w:p>
    <w:p>
      <w:pPr>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9</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社会保障和就业支出（类）-</w:t>
      </w:r>
      <w:r>
        <w:rPr>
          <w:rFonts w:hint="eastAsia" w:ascii="仿宋_GB2312" w:hAnsi="宋体" w:eastAsia="仿宋_GB2312" w:cs="宋体"/>
          <w:color w:val="000000"/>
          <w:kern w:val="0"/>
          <w:sz w:val="32"/>
          <w:szCs w:val="32"/>
          <w:lang w:eastAsia="zh-CN"/>
        </w:rPr>
        <w:t>残疾人事业</w:t>
      </w:r>
      <w:r>
        <w:rPr>
          <w:rFonts w:hint="eastAsia" w:ascii="仿宋_GB2312" w:hAnsi="宋体" w:eastAsia="仿宋_GB2312" w:cs="宋体"/>
          <w:color w:val="000000"/>
          <w:kern w:val="0"/>
          <w:sz w:val="32"/>
          <w:szCs w:val="32"/>
        </w:rPr>
        <w:t>（款）-</w:t>
      </w:r>
      <w:r>
        <w:rPr>
          <w:rFonts w:hint="eastAsia" w:ascii="仿宋_GB2312" w:hAnsi="宋体" w:eastAsia="仿宋_GB2312" w:cs="宋体"/>
          <w:color w:val="000000"/>
          <w:kern w:val="0"/>
          <w:sz w:val="32"/>
          <w:szCs w:val="32"/>
          <w:lang w:eastAsia="zh-CN"/>
        </w:rPr>
        <w:t>　　残疾人生活和护理补贴</w:t>
      </w:r>
      <w:r>
        <w:rPr>
          <w:rFonts w:hint="eastAsia" w:ascii="仿宋_GB2312" w:hAnsi="宋体" w:eastAsia="仿宋_GB2312" w:cs="宋体"/>
          <w:color w:val="000000"/>
          <w:kern w:val="0"/>
          <w:sz w:val="32"/>
          <w:szCs w:val="32"/>
        </w:rPr>
        <w:t>（项）为</w:t>
      </w:r>
      <w:r>
        <w:rPr>
          <w:rFonts w:hint="eastAsia" w:ascii="仿宋_GB2312" w:hAnsi="宋体" w:eastAsia="仿宋_GB2312" w:cs="宋体"/>
          <w:color w:val="000000"/>
          <w:kern w:val="0"/>
          <w:sz w:val="32"/>
          <w:szCs w:val="32"/>
          <w:lang w:val="en-US" w:eastAsia="zh-CN"/>
        </w:rPr>
        <w:t>187.5</w:t>
      </w:r>
      <w:r>
        <w:rPr>
          <w:rFonts w:hint="eastAsia" w:ascii="仿宋_GB2312" w:hAnsi="宋体" w:eastAsia="仿宋_GB2312" w:cs="宋体"/>
          <w:color w:val="000000"/>
          <w:kern w:val="0"/>
          <w:sz w:val="32"/>
          <w:szCs w:val="32"/>
        </w:rPr>
        <w:t>万元，主要用于</w:t>
      </w:r>
      <w:r>
        <w:rPr>
          <w:rFonts w:hint="eastAsia" w:ascii="仿宋_GB2312" w:hAnsi="宋体" w:eastAsia="仿宋_GB2312" w:cs="宋体"/>
          <w:color w:val="000000"/>
          <w:kern w:val="0"/>
          <w:sz w:val="32"/>
          <w:szCs w:val="32"/>
          <w:lang w:eastAsia="zh-CN"/>
        </w:rPr>
        <w:t>南明山街道重度残疾人护理补贴和困难残疾人生活补贴</w:t>
      </w:r>
      <w:r>
        <w:rPr>
          <w:rFonts w:hint="eastAsia" w:ascii="仿宋_GB2312" w:hAnsi="宋体" w:eastAsia="仿宋_GB2312" w:cs="宋体"/>
          <w:color w:val="000000"/>
          <w:kern w:val="0"/>
          <w:sz w:val="32"/>
          <w:szCs w:val="32"/>
        </w:rPr>
        <w:t>支出。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10</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社会保障和就业支出（类）-最低生活保障（款）-农村最低生活保障金支出（项）为</w:t>
      </w:r>
      <w:r>
        <w:rPr>
          <w:rFonts w:hint="eastAsia" w:ascii="仿宋_GB2312" w:hAnsi="宋体" w:eastAsia="仿宋_GB2312" w:cs="宋体"/>
          <w:color w:val="000000"/>
          <w:kern w:val="0"/>
          <w:sz w:val="32"/>
          <w:szCs w:val="32"/>
          <w:lang w:val="en-US" w:eastAsia="zh-CN"/>
        </w:rPr>
        <w:t>383</w:t>
      </w:r>
      <w:r>
        <w:rPr>
          <w:rFonts w:hint="eastAsia" w:ascii="仿宋_GB2312" w:hAnsi="宋体" w:eastAsia="仿宋_GB2312" w:cs="宋体"/>
          <w:color w:val="000000"/>
          <w:kern w:val="0"/>
          <w:sz w:val="32"/>
          <w:szCs w:val="32"/>
        </w:rPr>
        <w:t>万元，主要用于南明山街道农村低保对象生活补助方面的支出。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w:t>
      </w: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rPr>
        <w:t>）社会保障和就业支出（类）-临时救助（款）-临时救助支出（项）为</w:t>
      </w:r>
      <w:r>
        <w:rPr>
          <w:rFonts w:hint="eastAsia" w:ascii="仿宋_GB2312" w:hAnsi="宋体" w:eastAsia="仿宋_GB2312" w:cs="宋体"/>
          <w:color w:val="000000"/>
          <w:kern w:val="0"/>
          <w:sz w:val="32"/>
          <w:szCs w:val="32"/>
          <w:lang w:val="en-US" w:eastAsia="zh-CN"/>
        </w:rPr>
        <w:t>5</w:t>
      </w:r>
      <w:r>
        <w:rPr>
          <w:rFonts w:hint="eastAsia" w:ascii="仿宋_GB2312" w:hAnsi="宋体" w:eastAsia="仿宋_GB2312" w:cs="宋体"/>
          <w:color w:val="000000"/>
          <w:kern w:val="0"/>
          <w:sz w:val="32"/>
          <w:szCs w:val="32"/>
        </w:rPr>
        <w:t>万元，主要用于南明山街道生活困难居民的临时救助支出。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w:t>
      </w:r>
      <w:r>
        <w:rPr>
          <w:rFonts w:hint="eastAsia" w:ascii="仿宋_GB2312" w:hAnsi="宋体" w:eastAsia="仿宋_GB2312" w:cs="宋体"/>
          <w:color w:val="000000"/>
          <w:kern w:val="0"/>
          <w:sz w:val="32"/>
          <w:szCs w:val="32"/>
          <w:lang w:val="en-US" w:eastAsia="zh-CN"/>
        </w:rPr>
        <w:t>2</w:t>
      </w:r>
      <w:r>
        <w:rPr>
          <w:rFonts w:hint="eastAsia" w:ascii="仿宋_GB2312" w:hAnsi="宋体" w:eastAsia="仿宋_GB2312" w:cs="宋体"/>
          <w:color w:val="000000"/>
          <w:kern w:val="0"/>
          <w:sz w:val="32"/>
          <w:szCs w:val="32"/>
        </w:rPr>
        <w:t>）社会保障和就业支出（类）-特困人员救助供养（款）-农村特困人员救助供养支出（项）为</w:t>
      </w:r>
      <w:r>
        <w:rPr>
          <w:rFonts w:hint="eastAsia" w:ascii="仿宋_GB2312" w:hAnsi="宋体" w:eastAsia="仿宋_GB2312" w:cs="宋体"/>
          <w:color w:val="000000"/>
          <w:kern w:val="0"/>
          <w:sz w:val="32"/>
          <w:szCs w:val="32"/>
          <w:lang w:val="en-US" w:eastAsia="zh-CN"/>
        </w:rPr>
        <w:t>16</w:t>
      </w:r>
      <w:r>
        <w:rPr>
          <w:rFonts w:hint="eastAsia" w:ascii="仿宋_GB2312" w:hAnsi="宋体" w:eastAsia="仿宋_GB2312" w:cs="宋体"/>
          <w:color w:val="000000"/>
          <w:kern w:val="0"/>
          <w:sz w:val="32"/>
          <w:szCs w:val="32"/>
        </w:rPr>
        <w:t>万元，主要用于南明山街道特困人员基本生活、护理补贴。</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w:t>
      </w: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 社会保障和就业支出（类）-其他生活救助（款）-其他农村生活救助（项）为</w:t>
      </w:r>
      <w:r>
        <w:rPr>
          <w:rFonts w:hint="eastAsia" w:ascii="仿宋_GB2312" w:hAnsi="宋体" w:eastAsia="仿宋_GB2312" w:cs="宋体"/>
          <w:color w:val="000000"/>
          <w:kern w:val="0"/>
          <w:sz w:val="32"/>
          <w:szCs w:val="32"/>
          <w:lang w:val="en-US" w:eastAsia="zh-CN"/>
        </w:rPr>
        <w:t>42</w:t>
      </w:r>
      <w:r>
        <w:rPr>
          <w:rFonts w:hint="eastAsia" w:ascii="仿宋_GB2312" w:hAnsi="宋体" w:eastAsia="仿宋_GB2312" w:cs="宋体"/>
          <w:color w:val="000000"/>
          <w:kern w:val="0"/>
          <w:sz w:val="32"/>
          <w:szCs w:val="32"/>
        </w:rPr>
        <w:t>万元，主要用于南明山街道</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三老”人员、精减退职、支宁返丽等人员生活困难补助</w:t>
      </w:r>
      <w:r>
        <w:rPr>
          <w:rFonts w:hint="eastAsia" w:ascii="仿宋_GB2312" w:hAnsi="宋体" w:eastAsia="仿宋_GB2312" w:cs="宋体"/>
          <w:color w:val="000000"/>
          <w:kern w:val="0"/>
          <w:sz w:val="32"/>
          <w:szCs w:val="32"/>
        </w:rPr>
        <w:t>支出。</w:t>
      </w:r>
    </w:p>
    <w:p>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）社会保障和就业支出（类）- 其他社会保障和就业支出（款）-其他社会保障和就业支出（项）为</w:t>
      </w:r>
      <w:r>
        <w:rPr>
          <w:rFonts w:hint="eastAsia" w:ascii="仿宋_GB2312" w:hAnsi="宋体" w:eastAsia="仿宋_GB2312" w:cs="宋体"/>
          <w:kern w:val="0"/>
          <w:sz w:val="32"/>
          <w:szCs w:val="32"/>
          <w:lang w:val="en-US" w:eastAsia="zh-CN"/>
        </w:rPr>
        <w:t>6.39</w:t>
      </w:r>
      <w:r>
        <w:rPr>
          <w:rFonts w:hint="eastAsia" w:ascii="仿宋_GB2312" w:hAnsi="宋体" w:eastAsia="仿宋_GB2312" w:cs="宋体"/>
          <w:kern w:val="0"/>
          <w:sz w:val="32"/>
          <w:szCs w:val="32"/>
        </w:rPr>
        <w:t>万元，主要用于丽水市民政局机关按照国家规定标准为职工缴纳社会保险基金支出。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w:t>
      </w:r>
      <w:r>
        <w:rPr>
          <w:rFonts w:hint="eastAsia" w:ascii="仿宋_GB2312" w:hAnsi="宋体" w:eastAsia="仿宋_GB2312" w:cs="宋体"/>
          <w:color w:val="000000"/>
          <w:kern w:val="0"/>
          <w:sz w:val="32"/>
          <w:szCs w:val="32"/>
          <w:lang w:val="en-US" w:eastAsia="zh-CN"/>
        </w:rPr>
        <w:t>5</w:t>
      </w:r>
      <w:r>
        <w:rPr>
          <w:rFonts w:hint="eastAsia" w:ascii="仿宋_GB2312" w:hAnsi="宋体" w:eastAsia="仿宋_GB2312" w:cs="宋体"/>
          <w:color w:val="000000"/>
          <w:kern w:val="0"/>
          <w:sz w:val="32"/>
          <w:szCs w:val="32"/>
        </w:rPr>
        <w:t>）卫生健康支出（类）-行政事业单位医疗（款）-行政单位医疗（项）为</w:t>
      </w:r>
      <w:r>
        <w:rPr>
          <w:rFonts w:hint="eastAsia" w:ascii="仿宋_GB2312" w:hAnsi="宋体" w:eastAsia="仿宋_GB2312" w:cs="宋体"/>
          <w:color w:val="000000"/>
          <w:kern w:val="0"/>
          <w:sz w:val="32"/>
          <w:szCs w:val="32"/>
          <w:lang w:val="en-US" w:eastAsia="zh-CN"/>
        </w:rPr>
        <w:t>77.16</w:t>
      </w:r>
      <w:r>
        <w:rPr>
          <w:rFonts w:hint="eastAsia" w:ascii="仿宋_GB2312" w:hAnsi="宋体" w:eastAsia="仿宋_GB2312" w:cs="宋体"/>
          <w:color w:val="000000"/>
          <w:kern w:val="0"/>
          <w:sz w:val="32"/>
          <w:szCs w:val="32"/>
        </w:rPr>
        <w:t>万元，主要用于丽水市民政局机关按照国家规定标准为职工缴纳的基本医疗保险支出。</w:t>
      </w:r>
    </w:p>
    <w:p>
      <w:pPr>
        <w:spacing w:line="520" w:lineRule="exact"/>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 xml:space="preserve">    （六）关于丽水市民政局</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一般公共预算基本支出情况说明</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丽水市民政局</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一般公共预算基本支出927.48万元，其中：</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人员</w:t>
      </w:r>
      <w:r>
        <w:rPr>
          <w:rFonts w:hint="eastAsia" w:ascii="仿宋_GB2312" w:eastAsia="仿宋_GB2312"/>
          <w:color w:val="000000"/>
          <w:sz w:val="32"/>
          <w:szCs w:val="32"/>
          <w:lang w:val="en-US" w:eastAsia="zh-CN"/>
        </w:rPr>
        <w:t>支出</w:t>
      </w:r>
      <w:r>
        <w:rPr>
          <w:rFonts w:hint="eastAsia" w:ascii="仿宋_GB2312" w:eastAsia="仿宋_GB2312"/>
          <w:color w:val="000000"/>
          <w:sz w:val="32"/>
          <w:szCs w:val="32"/>
        </w:rPr>
        <w:t>766.21万元，主要包括：基本工资、津贴补贴、奖金、机关事业单位基本养老保险缴费、职业年金缴费、职工基本医疗保险缴费、公务员医疗补助缴费、其他社会保障缴费、住房公积金、其他工资福利支出、离休费、退休费、其他对个人和家庭的补助</w:t>
      </w:r>
      <w:r>
        <w:rPr>
          <w:rFonts w:hint="eastAsia" w:ascii="仿宋_GB2312" w:eastAsia="仿宋_GB2312"/>
          <w:color w:val="000000"/>
          <w:sz w:val="32"/>
          <w:szCs w:val="32"/>
          <w:lang w:val="en-US" w:eastAsia="zh-CN"/>
        </w:rPr>
        <w:t>等</w:t>
      </w:r>
      <w:r>
        <w:rPr>
          <w:rFonts w:hint="eastAsia" w:ascii="仿宋_GB2312" w:eastAsia="仿宋_GB2312"/>
          <w:color w:val="000000"/>
          <w:sz w:val="32"/>
          <w:szCs w:val="32"/>
        </w:rPr>
        <w:t>；</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lang w:val="en-US" w:eastAsia="zh-CN"/>
        </w:rPr>
        <w:t>日常</w:t>
      </w:r>
      <w:r>
        <w:rPr>
          <w:rFonts w:hint="eastAsia" w:ascii="仿宋_GB2312" w:eastAsia="仿宋_GB2312"/>
          <w:color w:val="000000"/>
          <w:sz w:val="32"/>
          <w:szCs w:val="32"/>
        </w:rPr>
        <w:t>公用</w:t>
      </w:r>
      <w:r>
        <w:rPr>
          <w:rFonts w:hint="eastAsia" w:ascii="仿宋_GB2312" w:eastAsia="仿宋_GB2312"/>
          <w:color w:val="000000"/>
          <w:sz w:val="32"/>
          <w:szCs w:val="32"/>
          <w:lang w:val="en-US" w:eastAsia="zh-CN"/>
        </w:rPr>
        <w:t>支出</w:t>
      </w:r>
      <w:r>
        <w:rPr>
          <w:rFonts w:hint="eastAsia" w:ascii="仿宋_GB2312" w:eastAsia="仿宋_GB2312"/>
          <w:color w:val="000000"/>
          <w:sz w:val="32"/>
          <w:szCs w:val="32"/>
        </w:rPr>
        <w:t>161.26万元，主要包括：办公费、印刷费、邮电费、物业管理费、差旅费、维修（护）费、会议费、培训费、公务接待费、劳务费、委托业务费、工会经费、福利费、其他交通费用、其他商品和服务支出、办公设备购置</w:t>
      </w:r>
      <w:r>
        <w:rPr>
          <w:rFonts w:hint="eastAsia" w:ascii="仿宋_GB2312" w:eastAsia="仿宋_GB2312"/>
          <w:color w:val="000000"/>
          <w:sz w:val="32"/>
          <w:szCs w:val="32"/>
          <w:lang w:val="en-US" w:eastAsia="zh-CN"/>
        </w:rPr>
        <w:t>等</w:t>
      </w:r>
      <w:r>
        <w:rPr>
          <w:rFonts w:hint="eastAsia" w:ascii="仿宋_GB2312" w:eastAsia="仿宋_GB2312"/>
          <w:color w:val="000000"/>
          <w:sz w:val="32"/>
          <w:szCs w:val="32"/>
        </w:rPr>
        <w:t>。</w:t>
      </w:r>
    </w:p>
    <w:p>
      <w:pPr>
        <w:spacing w:line="520" w:lineRule="exact"/>
        <w:ind w:firstLine="642"/>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（七）关于丽水市民政局</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政府性基金预算支出情况说明</w:t>
      </w:r>
    </w:p>
    <w:p>
      <w:pPr>
        <w:ind w:firstLine="420" w:firstLineChars="200"/>
      </w:pP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1.政府性基金预算拨款规模变化情况。</w:t>
      </w:r>
    </w:p>
    <w:p>
      <w:pPr>
        <w:spacing w:line="520" w:lineRule="exact"/>
        <w:ind w:firstLine="642"/>
        <w:rPr>
          <w:rFonts w:ascii="仿宋_GB2312" w:hAnsi="仿宋_GB2312" w:eastAsia="仿宋_GB2312" w:cs="仿宋_GB2312"/>
          <w:color w:val="000000"/>
          <w:sz w:val="32"/>
          <w:szCs w:val="32"/>
          <w:highlight w:val="yellow"/>
        </w:rPr>
      </w:pPr>
      <w:r>
        <w:rPr>
          <w:rFonts w:hint="eastAsia" w:ascii="仿宋_GB2312" w:hAnsi="仿宋_GB2312" w:eastAsia="仿宋_GB2312" w:cs="仿宋_GB2312"/>
          <w:color w:val="000000"/>
          <w:sz w:val="32"/>
          <w:szCs w:val="32"/>
          <w:highlight w:val="none"/>
        </w:rPr>
        <w:t>丽水市民政局</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政府性基金预算拨款2057.38万元，比</w:t>
      </w:r>
      <w:r>
        <w:rPr>
          <w:rFonts w:hint="eastAsia" w:ascii="仿宋_GB2312" w:hAnsi="仿宋_GB2312" w:eastAsia="仿宋_GB2312" w:cs="仿宋_GB2312"/>
          <w:color w:val="000000"/>
          <w:sz w:val="32"/>
          <w:szCs w:val="32"/>
          <w:highlight w:val="none"/>
          <w:lang w:val="en-US" w:eastAsia="zh-CN"/>
        </w:rPr>
        <w:t>上</w:t>
      </w:r>
      <w:r>
        <w:rPr>
          <w:rFonts w:hint="eastAsia" w:ascii="仿宋_GB2312" w:hAnsi="仿宋_GB2312" w:eastAsia="仿宋_GB2312" w:cs="仿宋_GB2312"/>
          <w:color w:val="000000"/>
          <w:sz w:val="32"/>
          <w:szCs w:val="32"/>
          <w:highlight w:val="none"/>
        </w:rPr>
        <w:t>年执行数增加</w:t>
      </w:r>
      <w:r>
        <w:rPr>
          <w:rFonts w:hint="eastAsia" w:ascii="仿宋_GB2312" w:hAnsi="仿宋_GB2312" w:eastAsia="仿宋_GB2312" w:cs="仿宋_GB2312"/>
          <w:color w:val="000000"/>
          <w:sz w:val="32"/>
          <w:highlight w:val="none"/>
          <w:lang w:val="en-US" w:eastAsia="zh-CN"/>
        </w:rPr>
        <w:t>993.69</w:t>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highlight w:val="none"/>
        </w:rPr>
        <w:t>增长</w:t>
      </w:r>
      <w:r>
        <w:rPr>
          <w:rFonts w:hint="eastAsia" w:ascii="仿宋_GB2312" w:hAnsi="仿宋_GB2312" w:eastAsia="仿宋_GB2312" w:cs="仿宋_GB2312"/>
          <w:color w:val="000000"/>
          <w:sz w:val="32"/>
          <w:highlight w:val="none"/>
          <w:lang w:val="en-US" w:eastAsia="zh-CN"/>
        </w:rPr>
        <w:t>93.42</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szCs w:val="32"/>
          <w:highlight w:val="none"/>
        </w:rPr>
        <w:t>主要是</w:t>
      </w:r>
      <w:r>
        <w:rPr>
          <w:rFonts w:hint="eastAsia" w:ascii="仿宋_GB2312" w:hAnsi="仿宋_GB2312" w:eastAsia="仿宋_GB2312" w:cs="仿宋_GB2312"/>
          <w:color w:val="000000"/>
          <w:sz w:val="32"/>
          <w:szCs w:val="32"/>
          <w:highlight w:val="none"/>
          <w:lang w:val="en-US" w:eastAsia="zh-CN"/>
        </w:rPr>
        <w:t>怡福家园基建项目预算增加</w:t>
      </w:r>
      <w:r>
        <w:rPr>
          <w:rFonts w:hint="eastAsia" w:ascii="仿宋_GB2312" w:hAnsi="仿宋_GB2312" w:eastAsia="仿宋_GB2312" w:cs="仿宋_GB2312"/>
          <w:color w:val="000000"/>
          <w:sz w:val="32"/>
          <w:szCs w:val="32"/>
          <w:highlight w:val="none"/>
        </w:rPr>
        <w:t>。</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2.政府性基金预算拨款结构情况。</w:t>
      </w:r>
    </w:p>
    <w:p>
      <w:pPr>
        <w:spacing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城乡社区支出466.30万元，占22.7%；其他支出1591.08万元，占77.3%。</w:t>
      </w:r>
    </w:p>
    <w:p>
      <w:pPr>
        <w:spacing w:line="520" w:lineRule="exact"/>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 xml:space="preserve">  3.政府性基金预算拨款具体使用情况。</w:t>
      </w:r>
    </w:p>
    <w:p>
      <w:pPr>
        <w:spacing w:line="520" w:lineRule="exact"/>
        <w:ind w:firstLine="642"/>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城乡社区支出（类）国有土地使用权出让收入安排的支出（款）城市建设支出（项）466.3万元，主要用于怡福家园基建项目支出。</w:t>
      </w:r>
    </w:p>
    <w:p>
      <w:pPr>
        <w:spacing w:line="520" w:lineRule="exact"/>
        <w:ind w:firstLine="642"/>
        <w:rPr>
          <w:rFonts w:ascii="仿宋_GB2312" w:hAnsi="仿宋_GB2312" w:eastAsia="仿宋_GB2312" w:cs="仿宋_GB2312"/>
          <w:color w:val="000000"/>
          <w:sz w:val="32"/>
          <w:szCs w:val="32"/>
          <w:highlight w:val="yellow"/>
        </w:rPr>
      </w:pPr>
      <w:r>
        <w:rPr>
          <w:rFonts w:hint="eastAsia" w:ascii="仿宋_GB2312" w:hAnsi="仿宋_GB2312" w:eastAsia="仿宋_GB2312" w:cs="仿宋_GB2312"/>
          <w:color w:val="000000"/>
          <w:sz w:val="32"/>
          <w:szCs w:val="32"/>
          <w:highlight w:val="none"/>
          <w:lang w:val="en-US" w:eastAsia="zh-CN"/>
        </w:rPr>
        <w:t>（2）其他支出</w:t>
      </w:r>
      <w:r>
        <w:rPr>
          <w:rFonts w:hint="eastAsia" w:ascii="仿宋_GB2312" w:hAnsi="仿宋_GB2312" w:eastAsia="仿宋_GB2312" w:cs="仿宋_GB2312"/>
          <w:color w:val="000000"/>
          <w:sz w:val="32"/>
          <w:szCs w:val="32"/>
          <w:highlight w:val="none"/>
        </w:rPr>
        <w:t>（类）</w:t>
      </w:r>
      <w:r>
        <w:rPr>
          <w:rFonts w:hint="eastAsia" w:ascii="仿宋_GB2312" w:hAnsi="仿宋_GB2312" w:eastAsia="仿宋_GB2312" w:cs="仿宋_GB2312"/>
          <w:color w:val="000000"/>
          <w:sz w:val="32"/>
          <w:szCs w:val="32"/>
          <w:highlight w:val="none"/>
          <w:lang w:val="en-US" w:eastAsia="zh-CN"/>
        </w:rPr>
        <w:t>彩票公益金安排的支出</w:t>
      </w:r>
      <w:r>
        <w:rPr>
          <w:rFonts w:hint="eastAsia" w:ascii="仿宋_GB2312" w:hAnsi="仿宋_GB2312" w:eastAsia="仿宋_GB2312" w:cs="仿宋_GB2312"/>
          <w:color w:val="000000"/>
          <w:sz w:val="32"/>
          <w:szCs w:val="32"/>
          <w:highlight w:val="none"/>
        </w:rPr>
        <w:t>（款）</w:t>
      </w:r>
      <w:r>
        <w:rPr>
          <w:rFonts w:hint="eastAsia" w:ascii="仿宋_GB2312" w:hAnsi="仿宋_GB2312" w:eastAsia="仿宋_GB2312" w:cs="仿宋_GB2312"/>
          <w:color w:val="000000"/>
          <w:sz w:val="32"/>
          <w:szCs w:val="32"/>
          <w:highlight w:val="none"/>
          <w:lang w:val="en-US" w:eastAsia="zh-CN"/>
        </w:rPr>
        <w:t>用于社会福利的彩票公益金支出</w:t>
      </w:r>
      <w:r>
        <w:rPr>
          <w:rFonts w:hint="eastAsia" w:ascii="仿宋_GB2312" w:hAnsi="仿宋_GB2312" w:eastAsia="仿宋_GB2312" w:cs="仿宋_GB2312"/>
          <w:color w:val="000000"/>
          <w:sz w:val="32"/>
          <w:szCs w:val="32"/>
          <w:highlight w:val="none"/>
        </w:rPr>
        <w:t>（项）</w:t>
      </w:r>
      <w:r>
        <w:rPr>
          <w:rFonts w:hint="eastAsia" w:ascii="仿宋_GB2312" w:hAnsi="仿宋_GB2312" w:eastAsia="仿宋_GB2312" w:cs="仿宋_GB2312"/>
          <w:color w:val="000000"/>
          <w:sz w:val="32"/>
          <w:szCs w:val="32"/>
          <w:highlight w:val="none"/>
          <w:lang w:val="en-US" w:eastAsia="zh-CN"/>
        </w:rPr>
        <w:t>1591.08</w:t>
      </w:r>
      <w:r>
        <w:rPr>
          <w:rFonts w:hint="eastAsia" w:ascii="仿宋_GB2312" w:hAnsi="仿宋_GB2312" w:eastAsia="仿宋_GB2312" w:cs="仿宋_GB2312"/>
          <w:color w:val="000000"/>
          <w:sz w:val="32"/>
          <w:szCs w:val="32"/>
          <w:highlight w:val="none"/>
        </w:rPr>
        <w:t>万元，主要用于</w:t>
      </w:r>
      <w:r>
        <w:rPr>
          <w:rFonts w:hint="eastAsia" w:ascii="仿宋_GB2312" w:hAnsi="仿宋_GB2312" w:eastAsia="仿宋_GB2312" w:cs="仿宋_GB2312"/>
          <w:color w:val="000000"/>
          <w:sz w:val="32"/>
          <w:szCs w:val="32"/>
          <w:highlight w:val="none"/>
          <w:lang w:val="en-US" w:eastAsia="zh-CN"/>
        </w:rPr>
        <w:t>养老服务体系建设、丽水市慈善基地建设、社会组织公益项目资助、丽享家园项目建设等。</w:t>
      </w:r>
    </w:p>
    <w:p>
      <w:pPr>
        <w:spacing w:line="520" w:lineRule="exact"/>
        <w:ind w:firstLine="627" w:firstLineChars="196"/>
        <w:rPr>
          <w:rFonts w:ascii="楷体_GB2312" w:hAnsi="楷体_GB2312" w:eastAsia="楷体_GB2312" w:cs="楷体_GB2312"/>
          <w:bCs/>
          <w:color w:val="000000"/>
          <w:sz w:val="32"/>
          <w:szCs w:val="32"/>
          <w:highlight w:val="none"/>
        </w:rPr>
      </w:pPr>
      <w:r>
        <w:rPr>
          <w:rFonts w:hint="eastAsia" w:ascii="楷体_GB2312" w:hAnsi="楷体_GB2312" w:eastAsia="楷体_GB2312" w:cs="楷体_GB2312"/>
          <w:bCs/>
          <w:color w:val="000000"/>
          <w:sz w:val="32"/>
          <w:szCs w:val="32"/>
          <w:highlight w:val="none"/>
        </w:rPr>
        <w:t>（八）关于</w:t>
      </w:r>
      <w:r>
        <w:rPr>
          <w:rFonts w:ascii="楷体_GB2312" w:hAnsi="楷体_GB2312" w:eastAsia="楷体_GB2312" w:cs="楷体_GB2312"/>
          <w:bCs/>
          <w:color w:val="000000"/>
          <w:sz w:val="32"/>
          <w:szCs w:val="32"/>
          <w:highlight w:val="none"/>
        </w:rPr>
        <w:t>丽水市民政局</w:t>
      </w:r>
      <w:r>
        <w:rPr>
          <w:rFonts w:hint="eastAsia" w:ascii="楷体_GB2312" w:hAnsi="楷体_GB2312" w:eastAsia="楷体_GB2312" w:cs="楷体_GB2312"/>
          <w:bCs/>
          <w:color w:val="000000"/>
          <w:sz w:val="32"/>
          <w:szCs w:val="32"/>
          <w:highlight w:val="none"/>
          <w:lang w:eastAsia="zh-CN"/>
        </w:rPr>
        <w:t>2025年</w:t>
      </w:r>
      <w:r>
        <w:rPr>
          <w:rFonts w:hint="eastAsia" w:ascii="楷体_GB2312" w:hAnsi="楷体_GB2312" w:eastAsia="楷体_GB2312" w:cs="楷体_GB2312"/>
          <w:bCs/>
          <w:color w:val="000000"/>
          <w:sz w:val="32"/>
          <w:szCs w:val="32"/>
          <w:highlight w:val="none"/>
        </w:rPr>
        <w:t>国有资本经营预算支出情况说明</w:t>
      </w:r>
    </w:p>
    <w:p>
      <w:pPr>
        <w:ind w:firstLine="640" w:firstLineChars="200"/>
        <w:rPr>
          <w:rFonts w:hint="eastAsia" w:eastAsia="仿宋_GB2312"/>
          <w:highlight w:val="none"/>
          <w:lang w:eastAsia="zh-CN"/>
        </w:rPr>
      </w:pPr>
      <w:r>
        <w:rPr>
          <w:rFonts w:hint="eastAsia" w:ascii="仿宋_GB2312" w:hAnsi="仿宋_GB2312" w:eastAsia="仿宋_GB2312" w:cs="仿宋_GB2312"/>
          <w:color w:val="000000"/>
          <w:sz w:val="32"/>
          <w:szCs w:val="32"/>
          <w:highlight w:val="none"/>
        </w:rPr>
        <w:t>丽水市民政局</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没有使用国有资本经营预算拨款安排的支出，与上年持平</w:t>
      </w:r>
      <w:r>
        <w:rPr>
          <w:rFonts w:hint="eastAsia" w:ascii="仿宋_GB2312" w:hAnsi="仿宋_GB2312" w:eastAsia="仿宋_GB2312" w:cs="仿宋_GB2312"/>
          <w:color w:val="000000"/>
          <w:sz w:val="32"/>
          <w:szCs w:val="32"/>
          <w:highlight w:val="none"/>
          <w:lang w:eastAsia="zh-CN"/>
        </w:rPr>
        <w:t>。</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（九）关于丽水市民政局</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sz w:val="32"/>
          <w:szCs w:val="32"/>
        </w:rPr>
        <w:t>一般公共预算</w:t>
      </w:r>
      <w:r>
        <w:rPr>
          <w:rFonts w:hint="eastAsia" w:ascii="楷体_GB2312" w:hAnsi="楷体_GB2312" w:eastAsia="楷体_GB2312" w:cs="楷体_GB2312"/>
          <w:bCs/>
          <w:color w:val="000000"/>
          <w:sz w:val="32"/>
          <w:szCs w:val="32"/>
        </w:rPr>
        <w:t>“三公”经费预算情况说明</w:t>
      </w:r>
    </w:p>
    <w:p>
      <w:pPr>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丽水市民政局</w:t>
      </w:r>
      <w:r>
        <w:rPr>
          <w:rFonts w:hint="eastAsia" w:ascii="仿宋_GB2312" w:hAnsi="仿宋_GB2312" w:eastAsia="仿宋_GB2312"/>
          <w:sz w:val="32"/>
          <w:lang w:eastAsia="zh-CN"/>
        </w:rPr>
        <w:t>2025年</w:t>
      </w:r>
      <w:r>
        <w:rPr>
          <w:rFonts w:hint="eastAsia" w:ascii="仿宋_GB2312" w:hAnsi="仿宋_GB2312" w:eastAsia="仿宋_GB2312"/>
          <w:sz w:val="32"/>
        </w:rPr>
        <w:t>“三公”经费预算数为4.28万元，</w:t>
      </w:r>
      <w:r>
        <w:rPr>
          <w:rFonts w:hint="eastAsia" w:ascii="仿宋_GB2312" w:hAnsi="仿宋_GB2312" w:eastAsia="仿宋_GB2312"/>
          <w:sz w:val="32"/>
          <w:shd w:val="clear" w:color="auto" w:fill="FFFFFF"/>
        </w:rPr>
        <w:t>比上年预算数</w:t>
      </w:r>
      <w:r>
        <w:rPr>
          <w:rFonts w:hint="eastAsia" w:ascii="仿宋_GB2312" w:hAnsi="仿宋_GB2312" w:eastAsia="仿宋_GB2312"/>
          <w:sz w:val="32"/>
          <w:shd w:val="clear" w:color="auto" w:fill="FFFFFF"/>
          <w:lang w:val="en-US" w:eastAsia="zh-CN"/>
        </w:rPr>
        <w:t>持平。</w:t>
      </w:r>
      <w:r>
        <w:rPr>
          <w:rFonts w:hint="eastAsia" w:ascii="仿宋_GB2312" w:hAnsi="仿宋_GB2312" w:eastAsia="仿宋_GB2312"/>
          <w:sz w:val="32"/>
        </w:rPr>
        <w:t>具体如下：</w:t>
      </w:r>
    </w:p>
    <w:p>
      <w:pPr>
        <w:numPr>
          <w:ilvl w:val="0"/>
          <w:numId w:val="0"/>
        </w:numPr>
        <w:spacing w:line="52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kern w:val="0"/>
          <w:sz w:val="32"/>
          <w:szCs w:val="32"/>
        </w:rPr>
        <w:t>1.因公出国（境）费用：</w:t>
      </w:r>
      <w:r>
        <w:rPr>
          <w:rFonts w:hint="eastAsia" w:ascii="仿宋_GB2312" w:hAnsi="仿宋_GB2312" w:eastAsia="仿宋_GB2312" w:cs="仿宋_GB2312"/>
          <w:sz w:val="32"/>
          <w:szCs w:val="32"/>
        </w:rPr>
        <w:t>根据因公出国计划和实际工作需要，</w:t>
      </w:r>
      <w:r>
        <w:rPr>
          <w:rFonts w:hint="eastAsia" w:ascii="仿宋_GB2312" w:hAnsi="仿宋_GB2312" w:eastAsia="仿宋_GB2312" w:cs="仿宋_GB2312"/>
          <w:sz w:val="32"/>
          <w:szCs w:val="32"/>
          <w:lang w:eastAsia="zh-CN"/>
        </w:rPr>
        <w:t>2025年</w:t>
      </w:r>
      <w:r>
        <w:rPr>
          <w:rFonts w:hint="eastAsia" w:ascii="仿宋_GB2312" w:hAnsi="仿宋_GB2312" w:eastAsia="仿宋_GB2312" w:cs="仿宋_GB2312"/>
          <w:sz w:val="32"/>
          <w:szCs w:val="32"/>
        </w:rPr>
        <w:t>安排因公出国（境）费用预算0.00万元，</w:t>
      </w:r>
      <w:r>
        <w:rPr>
          <w:rFonts w:hint="eastAsia" w:ascii="仿宋_GB2312" w:hAnsi="仿宋_GB2312" w:eastAsia="仿宋_GB2312" w:cs="仿宋_GB2312"/>
          <w:sz w:val="32"/>
          <w:szCs w:val="32"/>
          <w:lang w:val="en-US" w:eastAsia="zh-CN"/>
        </w:rPr>
        <w:t>与</w:t>
      </w:r>
      <w:r>
        <w:rPr>
          <w:rFonts w:hint="eastAsia" w:ascii="仿宋_GB2312" w:hAnsi="仿宋_GB2312" w:eastAsia="仿宋_GB2312" w:cs="仿宋_GB2312"/>
          <w:sz w:val="32"/>
          <w:szCs w:val="32"/>
        </w:rPr>
        <w:t>上年预算数</w:t>
      </w:r>
      <w:r>
        <w:rPr>
          <w:rFonts w:hint="eastAsia" w:ascii="仿宋_GB2312" w:hAnsi="仿宋_GB2312" w:eastAsia="仿宋_GB2312" w:cs="仿宋_GB2312"/>
          <w:sz w:val="32"/>
          <w:szCs w:val="32"/>
          <w:lang w:val="en-US" w:eastAsia="zh-CN"/>
        </w:rPr>
        <w:t>持平，</w:t>
      </w:r>
      <w:r>
        <w:rPr>
          <w:rFonts w:hint="eastAsia" w:ascii="仿宋_GB2312" w:hAnsi="仿宋" w:eastAsia="仿宋_GB2312"/>
          <w:sz w:val="32"/>
          <w:szCs w:val="32"/>
          <w:highlight w:val="none"/>
        </w:rPr>
        <w:t>主要原因是：20</w:t>
      </w:r>
      <w:r>
        <w:rPr>
          <w:rFonts w:hint="eastAsia" w:ascii="仿宋_GB2312" w:hAnsi="仿宋" w:eastAsia="仿宋_GB2312"/>
          <w:sz w:val="32"/>
          <w:szCs w:val="32"/>
          <w:highlight w:val="none"/>
          <w:lang w:val="en-US" w:eastAsia="zh-CN"/>
        </w:rPr>
        <w:t>25</w:t>
      </w:r>
      <w:r>
        <w:rPr>
          <w:rFonts w:hint="eastAsia" w:ascii="仿宋_GB2312" w:hAnsi="仿宋" w:eastAsia="仿宋_GB2312"/>
          <w:sz w:val="32"/>
          <w:szCs w:val="32"/>
          <w:highlight w:val="none"/>
        </w:rPr>
        <w:t>年因公出国（境）预算由财政统留管理，未编列到年初部门预算中。</w:t>
      </w:r>
      <w:r>
        <w:rPr>
          <w:rFonts w:hint="eastAsia" w:ascii="仿宋_GB2312" w:hAnsi="仿宋" w:eastAsia="仿宋_GB2312"/>
          <w:sz w:val="32"/>
          <w:szCs w:val="32"/>
          <w:highlight w:val="none"/>
          <w:lang w:eastAsia="zh-CN"/>
        </w:rPr>
        <w:t>根据市外办安排的因公出国计划和实际工作需要，</w:t>
      </w:r>
      <w:r>
        <w:rPr>
          <w:rFonts w:hint="eastAsia" w:ascii="仿宋_GB2312" w:hAnsi="仿宋" w:eastAsia="仿宋_GB2312"/>
          <w:sz w:val="32"/>
          <w:szCs w:val="32"/>
          <w:highlight w:val="none"/>
        </w:rPr>
        <w:t>经批准同意因公出国（境）的，所需</w:t>
      </w:r>
      <w:r>
        <w:rPr>
          <w:rFonts w:hint="eastAsia" w:ascii="仿宋_GB2312" w:hAnsi="仿宋" w:eastAsia="仿宋_GB2312"/>
          <w:sz w:val="32"/>
          <w:szCs w:val="32"/>
          <w:highlight w:val="none"/>
          <w:lang w:eastAsia="zh-CN"/>
        </w:rPr>
        <w:t>指标</w:t>
      </w:r>
      <w:r>
        <w:rPr>
          <w:rFonts w:hint="eastAsia" w:ascii="仿宋_GB2312" w:hAnsi="仿宋" w:eastAsia="仿宋_GB2312"/>
          <w:sz w:val="32"/>
          <w:szCs w:val="32"/>
          <w:highlight w:val="none"/>
        </w:rPr>
        <w:t>由财政按实追加部门年度“三公”经费预算额度。</w:t>
      </w:r>
      <w:r>
        <w:rPr>
          <w:rFonts w:hint="eastAsia" w:ascii="仿宋_GB2312" w:hAnsi="仿宋_GB2312" w:eastAsia="仿宋_GB2312" w:cs="仿宋_GB2312"/>
          <w:sz w:val="32"/>
          <w:szCs w:val="32"/>
          <w:highlight w:val="none"/>
        </w:rPr>
        <w:t>主要用于机关及下属预算单位人员等公务出国（境）的国际旅费、</w:t>
      </w:r>
      <w:r>
        <w:rPr>
          <w:rFonts w:hint="eastAsia" w:ascii="仿宋_GB2312" w:hAnsi="仿宋_GB2312" w:eastAsia="仿宋_GB2312" w:cs="仿宋_GB2312"/>
          <w:sz w:val="32"/>
          <w:szCs w:val="32"/>
          <w:highlight w:val="none"/>
          <w:lang w:eastAsia="zh-CN"/>
        </w:rPr>
        <w:t>国外城市间交通费、</w:t>
      </w:r>
      <w:r>
        <w:rPr>
          <w:rFonts w:hint="eastAsia" w:ascii="仿宋_GB2312" w:hAnsi="仿宋_GB2312" w:eastAsia="仿宋_GB2312" w:cs="仿宋_GB2312"/>
          <w:sz w:val="32"/>
          <w:szCs w:val="32"/>
          <w:highlight w:val="none"/>
        </w:rPr>
        <w:t>住宿费、</w:t>
      </w:r>
      <w:r>
        <w:rPr>
          <w:rFonts w:hint="eastAsia" w:ascii="仿宋_GB2312" w:hAnsi="仿宋_GB2312" w:eastAsia="仿宋_GB2312" w:cs="仿宋_GB2312"/>
          <w:sz w:val="32"/>
          <w:szCs w:val="32"/>
          <w:highlight w:val="none"/>
          <w:lang w:eastAsia="zh-CN"/>
        </w:rPr>
        <w:t>伙食费、</w:t>
      </w:r>
      <w:r>
        <w:rPr>
          <w:rFonts w:hint="eastAsia" w:ascii="仿宋_GB2312" w:hAnsi="仿宋_GB2312" w:eastAsia="仿宋_GB2312" w:cs="仿宋_GB2312"/>
          <w:sz w:val="32"/>
          <w:szCs w:val="32"/>
          <w:highlight w:val="none"/>
        </w:rPr>
        <w:t>培训费、公杂费等支出。</w:t>
      </w:r>
    </w:p>
    <w:p>
      <w:pPr>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2.公务接待费：</w:t>
      </w:r>
      <w:r>
        <w:rPr>
          <w:rFonts w:hint="eastAsia" w:ascii="仿宋_GB2312" w:hAnsi="仿宋_GB2312" w:eastAsia="仿宋_GB2312" w:cs="仿宋_GB2312"/>
          <w:sz w:val="32"/>
          <w:szCs w:val="32"/>
          <w:lang w:eastAsia="zh-CN"/>
        </w:rPr>
        <w:t>2025年</w:t>
      </w:r>
      <w:r>
        <w:rPr>
          <w:rFonts w:hint="eastAsia" w:ascii="仿宋_GB2312" w:hAnsi="仿宋_GB2312" w:eastAsia="仿宋_GB2312" w:cs="仿宋_GB2312"/>
          <w:sz w:val="32"/>
          <w:szCs w:val="32"/>
        </w:rPr>
        <w:t>安排公务接待费预算4.28万元，比上年预算数</w:t>
      </w:r>
      <w:r>
        <w:rPr>
          <w:rFonts w:hint="eastAsia" w:ascii="仿宋_GB2312" w:hAnsi="仿宋_GB2312" w:eastAsia="仿宋_GB2312"/>
          <w:sz w:val="32"/>
          <w:shd w:val="clear" w:color="auto" w:fill="FFFFFF"/>
          <w:lang w:val="en-US" w:eastAsia="zh-CN"/>
        </w:rPr>
        <w:t>持平</w:t>
      </w:r>
      <w:r>
        <w:rPr>
          <w:rFonts w:hint="eastAsia" w:ascii="仿宋_GB2312" w:hAnsi="仿宋_GB2312" w:eastAsia="仿宋_GB2312"/>
          <w:sz w:val="32"/>
          <w:shd w:val="clear" w:color="auto" w:fill="FFFFFF"/>
        </w:rPr>
        <w:t>，</w:t>
      </w:r>
      <w:r>
        <w:rPr>
          <w:rFonts w:hint="eastAsia" w:ascii="仿宋_GB2312" w:hAnsi="仿宋_GB2312" w:eastAsia="仿宋_GB2312" w:cs="仿宋_GB2312"/>
          <w:sz w:val="32"/>
          <w:szCs w:val="32"/>
          <w:lang w:val="en-US" w:eastAsia="zh-CN"/>
        </w:rPr>
        <w:t>主要用于</w:t>
      </w:r>
      <w:r>
        <w:rPr>
          <w:rFonts w:hint="eastAsia" w:ascii="仿宋_GB2312" w:hAnsi="仿宋_GB2312" w:eastAsia="仿宋_GB2312" w:cs="仿宋_GB2312"/>
          <w:sz w:val="32"/>
          <w:szCs w:val="32"/>
          <w:highlight w:val="none"/>
          <w:lang w:val="en-US" w:eastAsia="zh-CN"/>
        </w:rPr>
        <w:t>丽水市民政局各项公务活动接待等</w:t>
      </w:r>
      <w:r>
        <w:rPr>
          <w:rFonts w:hint="eastAsia" w:ascii="仿宋_GB2312" w:hAnsi="仿宋_GB2312" w:eastAsia="仿宋_GB2312" w:cs="仿宋_GB2312"/>
          <w:sz w:val="32"/>
          <w:szCs w:val="32"/>
          <w:highlight w:val="none"/>
        </w:rPr>
        <w:t>支出</w:t>
      </w:r>
      <w:r>
        <w:rPr>
          <w:rFonts w:hint="eastAsia" w:ascii="仿宋_GB2312" w:hAnsi="仿宋_GB2312" w:eastAsia="仿宋_GB2312" w:cs="仿宋_GB2312"/>
          <w:sz w:val="32"/>
          <w:szCs w:val="32"/>
          <w:highlight w:val="none"/>
          <w:lang w:eastAsia="zh-CN"/>
        </w:rPr>
        <w:t>。</w:t>
      </w:r>
    </w:p>
    <w:p>
      <w:pPr>
        <w:pStyle w:val="14"/>
        <w:keepNext w:val="0"/>
        <w:keepLines w:val="0"/>
        <w:pageBreakBefore w:val="0"/>
        <w:kinsoku/>
        <w:wordWrap/>
        <w:overflowPunct/>
        <w:topLinePunct w:val="0"/>
        <w:autoSpaceDE/>
        <w:autoSpaceDN/>
        <w:bidi w:val="0"/>
        <w:adjustRightInd/>
        <w:snapToGrid/>
        <w:spacing w:beforeLines="0" w:afterLines="0" w:line="520" w:lineRule="exact"/>
        <w:ind w:right="0" w:rightChars="0" w:firstLine="640" w:firstLineChars="200"/>
        <w:textAlignment w:val="auto"/>
        <w:outlineLvl w:val="9"/>
        <w:rPr>
          <w:rFonts w:ascii="仿宋_GB2312" w:eastAsia="仿宋_GB2312"/>
          <w:b/>
          <w:bCs/>
          <w:sz w:val="32"/>
          <w:szCs w:val="32"/>
        </w:rPr>
      </w:pPr>
      <w:r>
        <w:rPr>
          <w:rFonts w:hint="eastAsia" w:ascii="仿宋_GB2312" w:eastAsia="仿宋_GB2312"/>
          <w:sz w:val="32"/>
          <w:szCs w:val="32"/>
        </w:rPr>
        <w:t>3.公务用车购置及运行维护费：</w:t>
      </w:r>
      <w:r>
        <w:rPr>
          <w:rFonts w:hint="eastAsia" w:ascii="仿宋_GB2312" w:eastAsia="仿宋_GB2312"/>
          <w:sz w:val="32"/>
          <w:szCs w:val="32"/>
          <w:lang w:eastAsia="zh-CN"/>
        </w:rPr>
        <w:t>2025年</w:t>
      </w:r>
      <w:r>
        <w:rPr>
          <w:rFonts w:hint="eastAsia" w:ascii="仿宋_GB2312" w:eastAsia="仿宋_GB2312"/>
          <w:sz w:val="32"/>
          <w:szCs w:val="32"/>
        </w:rPr>
        <w:t>安排公务用车购置及运行维护费预算0.00万元，比上年预算数</w:t>
      </w:r>
      <w:r>
        <w:rPr>
          <w:rFonts w:hint="eastAsia" w:ascii="仿宋_GB2312" w:eastAsia="仿宋_GB2312"/>
          <w:sz w:val="32"/>
          <w:szCs w:val="32"/>
          <w:lang w:val="en-US" w:eastAsia="zh-CN"/>
        </w:rPr>
        <w:t>持平。</w:t>
      </w:r>
      <w:r>
        <w:rPr>
          <w:rFonts w:hint="eastAsia" w:ascii="仿宋_GB2312" w:eastAsia="仿宋_GB2312"/>
          <w:sz w:val="32"/>
          <w:szCs w:val="32"/>
          <w:highlight w:val="none"/>
        </w:rPr>
        <w:t>其中，公务用车购置支出</w:t>
      </w:r>
      <w:r>
        <w:rPr>
          <w:rFonts w:hint="eastAsia" w:ascii="仿宋_GB2312" w:eastAsia="仿宋_GB2312"/>
          <w:sz w:val="32"/>
          <w:szCs w:val="32"/>
          <w:highlight w:val="none"/>
        </w:rPr>
        <w:fldChar w:fldCharType="begin"/>
      </w:r>
      <w:r>
        <w:rPr>
          <w:rFonts w:hint="eastAsia" w:ascii="仿宋_GB2312" w:eastAsia="仿宋_GB2312"/>
          <w:sz w:val="32"/>
          <w:szCs w:val="32"/>
          <w:highlight w:val="none"/>
        </w:rPr>
        <w:instrText xml:space="preserve">MERGEFIELD ${page777094869.ds444739888_ComputeCol20220214105200}</w:instrText>
      </w:r>
      <w:r>
        <w:rPr>
          <w:rFonts w:hint="eastAsia" w:ascii="仿宋_GB2312" w:eastAsia="仿宋_GB2312"/>
          <w:sz w:val="32"/>
          <w:szCs w:val="32"/>
          <w:highlight w:val="none"/>
        </w:rPr>
        <w:fldChar w:fldCharType="separate"/>
      </w:r>
      <w:r>
        <w:rPr>
          <w:rFonts w:hint="eastAsia" w:ascii="仿宋_GB2312" w:eastAsia="仿宋_GB2312"/>
          <w:sz w:val="32"/>
          <w:szCs w:val="32"/>
          <w:highlight w:val="none"/>
        </w:rPr>
        <w:t>0.00</w:t>
      </w:r>
      <w:r>
        <w:rPr>
          <w:highlight w:val="none"/>
        </w:rPr>
        <w:fldChar w:fldCharType="end"/>
      </w:r>
      <w:r>
        <w:rPr>
          <w:rFonts w:hint="eastAsia" w:ascii="仿宋_GB2312" w:eastAsia="仿宋_GB2312"/>
          <w:sz w:val="32"/>
          <w:szCs w:val="32"/>
          <w:highlight w:val="none"/>
        </w:rPr>
        <w:t>万元（含购置税等附加费用），主要用于经批准购置的</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辆公务用车</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与</w:t>
      </w:r>
      <w:r>
        <w:rPr>
          <w:rFonts w:hint="eastAsia" w:ascii="仿宋_GB2312" w:eastAsia="仿宋_GB2312"/>
          <w:sz w:val="32"/>
          <w:szCs w:val="32"/>
          <w:highlight w:val="none"/>
          <w:lang w:eastAsia="zh-CN"/>
        </w:rPr>
        <w:t>比上年</w:t>
      </w:r>
      <w:r>
        <w:rPr>
          <w:rFonts w:hint="eastAsia" w:ascii="仿宋_GB2312" w:eastAsia="仿宋_GB2312"/>
          <w:sz w:val="32"/>
          <w:szCs w:val="32"/>
          <w:highlight w:val="none"/>
          <w:lang w:val="en-US" w:eastAsia="zh-CN"/>
        </w:rPr>
        <w:t>预算</w:t>
      </w:r>
      <w:r>
        <w:rPr>
          <w:rFonts w:hint="eastAsia" w:ascii="仿宋_GB2312" w:eastAsia="仿宋_GB2312"/>
          <w:sz w:val="32"/>
          <w:szCs w:val="32"/>
          <w:highlight w:val="none"/>
          <w:lang w:eastAsia="zh-CN"/>
        </w:rPr>
        <w:t>数</w:t>
      </w:r>
      <w:r>
        <w:rPr>
          <w:rFonts w:hint="eastAsia" w:ascii="仿宋_GB2312" w:eastAsia="仿宋_GB2312"/>
          <w:sz w:val="32"/>
          <w:szCs w:val="32"/>
          <w:highlight w:val="none"/>
          <w:lang w:val="en-US" w:eastAsia="zh-CN"/>
        </w:rPr>
        <w:t>持平</w:t>
      </w:r>
      <w:r>
        <w:rPr>
          <w:rFonts w:hint="eastAsia" w:ascii="仿宋_GB2312" w:eastAsia="仿宋_GB2312"/>
          <w:sz w:val="32"/>
          <w:szCs w:val="32"/>
          <w:highlight w:val="none"/>
        </w:rPr>
        <w:t>；公务用车运行</w:t>
      </w:r>
      <w:r>
        <w:rPr>
          <w:rFonts w:hint="eastAsia" w:ascii="仿宋_GB2312" w:eastAsia="仿宋_GB2312"/>
          <w:sz w:val="32"/>
          <w:szCs w:val="32"/>
          <w:highlight w:val="none"/>
          <w:lang w:eastAsia="zh-CN"/>
        </w:rPr>
        <w:t>维护</w:t>
      </w:r>
      <w:r>
        <w:rPr>
          <w:rFonts w:hint="eastAsia" w:ascii="仿宋_GB2312" w:eastAsia="仿宋_GB2312"/>
          <w:sz w:val="32"/>
          <w:szCs w:val="32"/>
          <w:highlight w:val="none"/>
        </w:rPr>
        <w:t>费支出</w:t>
      </w:r>
      <w:r>
        <w:rPr>
          <w:rFonts w:hint="eastAsia" w:ascii="仿宋_GB2312" w:eastAsia="仿宋_GB2312"/>
          <w:sz w:val="32"/>
          <w:szCs w:val="32"/>
          <w:highlight w:val="none"/>
        </w:rPr>
        <w:fldChar w:fldCharType="begin"/>
      </w:r>
      <w:r>
        <w:rPr>
          <w:rFonts w:hint="eastAsia" w:ascii="仿宋_GB2312" w:eastAsia="仿宋_GB2312"/>
          <w:sz w:val="32"/>
          <w:szCs w:val="32"/>
          <w:highlight w:val="none"/>
        </w:rPr>
        <w:instrText xml:space="preserve">MERGEFIELD ${page777094869.ds444739888_ExpandCol7471383553}</w:instrText>
      </w:r>
      <w:r>
        <w:rPr>
          <w:rFonts w:hint="eastAsia" w:ascii="仿宋_GB2312" w:eastAsia="仿宋_GB2312"/>
          <w:sz w:val="32"/>
          <w:szCs w:val="32"/>
          <w:highlight w:val="none"/>
        </w:rPr>
        <w:fldChar w:fldCharType="separate"/>
      </w:r>
      <w:r>
        <w:rPr>
          <w:rFonts w:hint="eastAsia" w:ascii="仿宋_GB2312" w:eastAsia="仿宋_GB2312"/>
          <w:sz w:val="32"/>
          <w:szCs w:val="32"/>
          <w:highlight w:val="none"/>
        </w:rPr>
        <w:t>0.00</w:t>
      </w:r>
      <w:r>
        <w:rPr>
          <w:highlight w:val="none"/>
        </w:rPr>
        <w:fldChar w:fldCharType="end"/>
      </w:r>
      <w:r>
        <w:rPr>
          <w:rFonts w:hint="eastAsia" w:ascii="仿宋_GB2312" w:eastAsia="仿宋_GB2312"/>
          <w:sz w:val="32"/>
          <w:szCs w:val="32"/>
          <w:highlight w:val="none"/>
        </w:rPr>
        <w:t>万元，主要用于公务用车燃料费、维修费、过桥过路费、保险费</w:t>
      </w:r>
      <w:r>
        <w:rPr>
          <w:rFonts w:hint="eastAsia" w:ascii="仿宋_GB2312" w:eastAsia="仿宋_GB2312"/>
          <w:sz w:val="32"/>
          <w:szCs w:val="32"/>
          <w:highlight w:val="none"/>
          <w:lang w:eastAsia="zh-CN"/>
        </w:rPr>
        <w:t>、安全奖励费用等</w:t>
      </w:r>
      <w:r>
        <w:rPr>
          <w:rFonts w:hint="eastAsia" w:ascii="仿宋_GB2312" w:eastAsia="仿宋_GB2312"/>
          <w:sz w:val="32"/>
          <w:szCs w:val="32"/>
          <w:highlight w:val="none"/>
        </w:rPr>
        <w:t>支出。</w:t>
      </w:r>
      <w:r>
        <w:rPr>
          <w:rFonts w:hint="eastAsia" w:ascii="仿宋_GB2312" w:eastAsia="仿宋_GB2312"/>
          <w:sz w:val="32"/>
          <w:szCs w:val="32"/>
          <w:highlight w:val="none"/>
          <w:lang w:val="en-US" w:eastAsia="zh-CN"/>
        </w:rPr>
        <w:t>与</w:t>
      </w:r>
      <w:r>
        <w:rPr>
          <w:rFonts w:hint="eastAsia" w:ascii="仿宋_GB2312" w:eastAsia="仿宋_GB2312"/>
          <w:sz w:val="32"/>
          <w:szCs w:val="32"/>
          <w:highlight w:val="none"/>
          <w:lang w:eastAsia="zh-CN"/>
        </w:rPr>
        <w:t>上年</w:t>
      </w:r>
      <w:r>
        <w:rPr>
          <w:rFonts w:hint="eastAsia" w:ascii="仿宋_GB2312" w:eastAsia="仿宋_GB2312"/>
          <w:sz w:val="32"/>
          <w:szCs w:val="32"/>
          <w:highlight w:val="none"/>
          <w:lang w:val="en-US" w:eastAsia="zh-CN"/>
        </w:rPr>
        <w:t>预算</w:t>
      </w:r>
      <w:r>
        <w:rPr>
          <w:rFonts w:hint="eastAsia" w:ascii="仿宋_GB2312" w:eastAsia="仿宋_GB2312"/>
          <w:sz w:val="32"/>
          <w:szCs w:val="32"/>
          <w:highlight w:val="none"/>
          <w:lang w:eastAsia="zh-CN"/>
        </w:rPr>
        <w:t>数</w:t>
      </w:r>
      <w:r>
        <w:rPr>
          <w:rFonts w:hint="eastAsia" w:ascii="仿宋_GB2312" w:eastAsia="仿宋_GB2312"/>
          <w:sz w:val="32"/>
          <w:szCs w:val="32"/>
          <w:highlight w:val="none"/>
          <w:lang w:val="en-US" w:eastAsia="zh-CN"/>
        </w:rPr>
        <w:t>持平</w:t>
      </w:r>
      <w:r>
        <w:rPr>
          <w:rFonts w:hint="eastAsia" w:ascii="仿宋_GB2312" w:eastAsia="仿宋_GB2312"/>
          <w:b w:val="0"/>
          <w:bCs w:val="0"/>
          <w:sz w:val="32"/>
          <w:szCs w:val="32"/>
          <w:highlight w:val="none"/>
          <w:lang w:eastAsia="zh-CN"/>
        </w:rPr>
        <w:t>。</w:t>
      </w: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1.机关运行经费</w:t>
      </w:r>
    </w:p>
    <w:p>
      <w:pPr>
        <w:pStyle w:val="14"/>
        <w:spacing w:line="520" w:lineRule="exact"/>
        <w:ind w:firstLine="640" w:firstLineChars="200"/>
        <w:rPr>
          <w:rFonts w:ascii="仿宋_GB2312" w:eastAsia="仿宋_GB2312"/>
          <w:sz w:val="32"/>
          <w:szCs w:val="32"/>
        </w:rPr>
      </w:pPr>
      <w:r>
        <w:rPr>
          <w:rFonts w:hint="eastAsia" w:ascii="仿宋_GB2312" w:eastAsia="仿宋_GB2312"/>
          <w:sz w:val="32"/>
          <w:szCs w:val="32"/>
          <w:lang w:eastAsia="zh-CN"/>
        </w:rPr>
        <w:t>2025年</w:t>
      </w:r>
      <w:r>
        <w:rPr>
          <w:rFonts w:hint="eastAsia" w:ascii="仿宋_GB2312" w:eastAsia="仿宋_GB2312"/>
          <w:sz w:val="32"/>
          <w:szCs w:val="32"/>
        </w:rPr>
        <w:t>丽水市民政局</w:t>
      </w:r>
      <w:r>
        <w:rPr>
          <w:rFonts w:hint="eastAsia" w:ascii="仿宋_GB2312" w:eastAsia="仿宋_GB2312"/>
          <w:color w:val="000000"/>
          <w:sz w:val="32"/>
          <w:szCs w:val="32"/>
        </w:rPr>
        <w:t>本级</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家行政单位的机关运行经费财政拨款预算161.26万元，比上年预算</w:t>
      </w:r>
      <w:r>
        <w:rPr>
          <w:rFonts w:hint="eastAsia" w:ascii="仿宋_GB2312" w:eastAsia="仿宋_GB2312"/>
          <w:color w:val="000000"/>
          <w:sz w:val="32"/>
          <w:szCs w:val="32"/>
          <w:lang w:val="en-US" w:eastAsia="zh-CN"/>
        </w:rPr>
        <w:t>减少5.42</w:t>
      </w:r>
      <w:r>
        <w:rPr>
          <w:rFonts w:hint="eastAsia" w:ascii="仿宋_GB2312" w:eastAsia="仿宋_GB2312"/>
          <w:sz w:val="32"/>
          <w:szCs w:val="32"/>
        </w:rPr>
        <w:t>万元</w:t>
      </w:r>
      <w:r>
        <w:rPr>
          <w:rFonts w:hint="eastAsia" w:ascii="仿宋_GB2312" w:hAnsi="仿宋_GB2312" w:eastAsia="仿宋_GB2312"/>
          <w:kern w:val="2"/>
          <w:sz w:val="32"/>
          <w:szCs w:val="20"/>
        </w:rPr>
        <w:t>，下降</w:t>
      </w:r>
      <w:r>
        <w:rPr>
          <w:rFonts w:hint="eastAsia" w:ascii="仿宋_GB2312" w:hAnsi="仿宋_GB2312" w:eastAsia="仿宋_GB2312"/>
          <w:kern w:val="2"/>
          <w:sz w:val="32"/>
          <w:szCs w:val="20"/>
          <w:lang w:val="en-US" w:eastAsia="zh-CN"/>
        </w:rPr>
        <w:t>3.25</w:t>
      </w:r>
      <w:r>
        <w:rPr>
          <w:rFonts w:hint="eastAsia" w:ascii="仿宋_GB2312" w:hAnsi="仿宋_GB2312" w:eastAsia="仿宋_GB2312"/>
          <w:kern w:val="2"/>
          <w:sz w:val="32"/>
          <w:szCs w:val="20"/>
        </w:rPr>
        <w:t>%，主要是</w:t>
      </w:r>
      <w:r>
        <w:rPr>
          <w:rFonts w:hint="eastAsia" w:ascii="仿宋_GB2312" w:hAnsi="宋体" w:eastAsia="仿宋_GB2312" w:cs="宋体"/>
          <w:color w:val="000000"/>
          <w:kern w:val="0"/>
          <w:sz w:val="32"/>
          <w:szCs w:val="32"/>
        </w:rPr>
        <w:t>厉行节约、切实保障各项工作开展</w:t>
      </w:r>
      <w:r>
        <w:rPr>
          <w:rFonts w:hint="eastAsia" w:ascii="仿宋_GB2312" w:eastAsia="仿宋_GB2312"/>
          <w:color w:val="000000"/>
          <w:sz w:val="32"/>
          <w:szCs w:val="32"/>
        </w:rPr>
        <w:t>。</w:t>
      </w:r>
    </w:p>
    <w:p>
      <w:pPr>
        <w:pStyle w:val="14"/>
        <w:numPr>
          <w:ilvl w:val="0"/>
          <w:numId w:val="2"/>
        </w:numPr>
        <w:spacing w:line="520" w:lineRule="exact"/>
        <w:ind w:firstLine="600"/>
        <w:rPr>
          <w:rFonts w:ascii="仿宋_GB2312" w:eastAsia="仿宋_GB2312"/>
          <w:b/>
          <w:bCs/>
          <w:sz w:val="32"/>
          <w:szCs w:val="32"/>
        </w:rPr>
      </w:pPr>
      <w:r>
        <w:rPr>
          <w:rFonts w:hint="eastAsia" w:ascii="仿宋_GB2312" w:eastAsia="仿宋_GB2312"/>
          <w:b/>
          <w:bCs/>
          <w:sz w:val="32"/>
          <w:szCs w:val="32"/>
        </w:rPr>
        <w:t>政府采购情况。</w:t>
      </w:r>
    </w:p>
    <w:p>
      <w:pPr>
        <w:pStyle w:val="14"/>
        <w:spacing w:line="520" w:lineRule="exact"/>
        <w:ind w:firstLine="640" w:firstLineChars="200"/>
        <w:rPr>
          <w:rFonts w:ascii="仿宋_GB2312" w:eastAsia="仿宋_GB2312"/>
          <w:sz w:val="32"/>
          <w:szCs w:val="32"/>
        </w:rPr>
      </w:pPr>
      <w:r>
        <w:rPr>
          <w:rFonts w:hint="eastAsia" w:ascii="仿宋_GB2312" w:eastAsia="仿宋_GB2312"/>
          <w:sz w:val="32"/>
          <w:szCs w:val="32"/>
          <w:lang w:eastAsia="zh-CN"/>
        </w:rPr>
        <w:t>2025年</w:t>
      </w:r>
      <w:r>
        <w:rPr>
          <w:rFonts w:hint="eastAsia" w:ascii="仿宋_GB2312" w:eastAsia="仿宋_GB2312"/>
          <w:sz w:val="32"/>
          <w:szCs w:val="32"/>
        </w:rPr>
        <w:t>丽水市民政局</w:t>
      </w:r>
      <w:r>
        <w:rPr>
          <w:rFonts w:hint="eastAsia" w:ascii="仿宋_GB2312" w:eastAsia="仿宋_GB2312"/>
          <w:color w:val="000000"/>
          <w:sz w:val="32"/>
          <w:szCs w:val="32"/>
        </w:rPr>
        <w:t>各单位政府采购预算总额</w:t>
      </w:r>
      <w:r>
        <w:rPr>
          <w:rFonts w:ascii="仿宋_GB2312" w:eastAsia="仿宋_GB2312"/>
          <w:color w:val="000000"/>
          <w:sz w:val="32"/>
          <w:szCs w:val="32"/>
        </w:rPr>
        <w:t>152.60</w:t>
      </w:r>
      <w:r>
        <w:rPr>
          <w:rFonts w:hint="eastAsia" w:ascii="仿宋_GB2312" w:eastAsia="仿宋_GB2312"/>
          <w:color w:val="000000"/>
          <w:sz w:val="32"/>
          <w:szCs w:val="32"/>
        </w:rPr>
        <w:t>万元，其中：政府采购货物预算1.90万元、政府采购工程预算0.00万元、政府采购服务预算</w:t>
      </w:r>
      <w:r>
        <w:rPr>
          <w:rFonts w:ascii="仿宋_GB2312" w:eastAsia="仿宋_GB2312"/>
          <w:color w:val="000000"/>
          <w:sz w:val="32"/>
          <w:szCs w:val="32"/>
        </w:rPr>
        <w:t>150.70</w:t>
      </w:r>
      <w:r>
        <w:rPr>
          <w:rFonts w:hint="eastAsia" w:ascii="仿宋_GB2312" w:eastAsia="仿宋_GB2312"/>
          <w:color w:val="000000"/>
          <w:sz w:val="32"/>
          <w:szCs w:val="32"/>
        </w:rPr>
        <w:t>万元。</w:t>
      </w:r>
    </w:p>
    <w:p>
      <w:pPr>
        <w:pStyle w:val="14"/>
        <w:spacing w:line="520" w:lineRule="exact"/>
        <w:ind w:firstLine="642"/>
        <w:rPr>
          <w:rFonts w:ascii="仿宋_GB2312" w:eastAsia="仿宋_GB2312"/>
          <w:sz w:val="32"/>
          <w:szCs w:val="32"/>
        </w:rPr>
      </w:pPr>
      <w:r>
        <w:rPr>
          <w:rFonts w:hint="eastAsia" w:ascii="仿宋_GB2312" w:eastAsia="仿宋_GB2312"/>
          <w:b/>
          <w:bCs/>
          <w:sz w:val="32"/>
          <w:szCs w:val="32"/>
        </w:rPr>
        <w:t>3.国有资产占有使用情况。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pacing w:val="6"/>
          <w:sz w:val="32"/>
          <w:szCs w:val="32"/>
        </w:rPr>
        <w:t>截至202</w:t>
      </w:r>
      <w:r>
        <w:rPr>
          <w:rFonts w:hint="eastAsia" w:ascii="仿宋_GB2312" w:hAnsi="仿宋_GB2312" w:eastAsia="仿宋_GB2312" w:cs="仿宋_GB2312"/>
          <w:spacing w:val="6"/>
          <w:sz w:val="32"/>
          <w:szCs w:val="32"/>
          <w:lang w:val="en-US" w:eastAsia="zh-CN"/>
        </w:rPr>
        <w:t>4</w:t>
      </w:r>
      <w:r>
        <w:rPr>
          <w:rFonts w:hint="eastAsia" w:ascii="仿宋_GB2312" w:hAnsi="仿宋_GB2312" w:eastAsia="仿宋_GB2312" w:cs="仿宋_GB2312"/>
          <w:spacing w:val="6"/>
          <w:sz w:val="32"/>
          <w:szCs w:val="32"/>
        </w:rPr>
        <w:t>年12月31日，所属各预算单位共有车辆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辆，其中，应急保障用车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辆、老干部服务用车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辆、行政执法专用车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辆。单位价值50万元以上通用设备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台（套），单位价值100万元以上专用设备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台（套）。 </w:t>
      </w:r>
    </w:p>
    <w:p>
      <w:pPr>
        <w:pStyle w:val="14"/>
        <w:spacing w:line="520" w:lineRule="exact"/>
        <w:ind w:firstLine="640" w:firstLineChars="200"/>
        <w:rPr>
          <w:rFonts w:hint="eastAsia" w:ascii="仿宋_GB2312" w:eastAsia="仿宋_GB2312"/>
          <w:b/>
          <w:bCs/>
          <w:sz w:val="32"/>
          <w:szCs w:val="32"/>
        </w:rPr>
      </w:pPr>
      <w:r>
        <w:rPr>
          <w:rFonts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单位</w:t>
      </w:r>
      <w:r>
        <w:rPr>
          <w:rFonts w:ascii="仿宋_GB2312" w:hAnsi="仿宋_GB2312" w:eastAsia="仿宋_GB2312" w:cs="仿宋_GB2312"/>
          <w:sz w:val="32"/>
          <w:szCs w:val="32"/>
        </w:rPr>
        <w:t>预算未安排购置车辆、单位价值50万元以上通用设备及单位价值100万元以上专用设备</w:t>
      </w:r>
      <w:r>
        <w:rPr>
          <w:rFonts w:hint="eastAsia" w:ascii="仿宋_GB2312" w:hAnsi="仿宋_GB2312" w:eastAsia="仿宋_GB2312" w:cs="仿宋_GB2312"/>
          <w:sz w:val="32"/>
          <w:szCs w:val="32"/>
        </w:rPr>
        <w:t>。</w:t>
      </w:r>
      <w:r>
        <w:rPr>
          <w:rFonts w:hint="eastAsia" w:ascii="仿宋_GB2312" w:eastAsia="仿宋_GB2312"/>
          <w:b/>
          <w:bCs/>
          <w:sz w:val="32"/>
          <w:szCs w:val="32"/>
        </w:rPr>
        <w:t xml:space="preserve">   </w:t>
      </w:r>
    </w:p>
    <w:p>
      <w:pPr>
        <w:pStyle w:val="14"/>
        <w:spacing w:line="520" w:lineRule="exact"/>
        <w:ind w:firstLine="643" w:firstLineChars="200"/>
        <w:rPr>
          <w:rFonts w:ascii="仿宋_GB2312" w:eastAsia="仿宋_GB2312"/>
          <w:b/>
          <w:bCs/>
          <w:sz w:val="32"/>
          <w:szCs w:val="32"/>
        </w:rPr>
      </w:pPr>
      <w:r>
        <w:rPr>
          <w:rFonts w:hint="eastAsia" w:ascii="仿宋_GB2312" w:eastAsia="仿宋_GB2312"/>
          <w:b/>
          <w:bCs/>
          <w:sz w:val="32"/>
          <w:szCs w:val="32"/>
        </w:rPr>
        <w:t xml:space="preserve"> 4.预算绩效情况说明。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2025年</w:t>
      </w:r>
      <w:r>
        <w:rPr>
          <w:rFonts w:ascii="仿宋_GB2312" w:hAnsi="仿宋_GB2312" w:eastAsia="仿宋_GB2312" w:cs="仿宋_GB2312"/>
          <w:sz w:val="32"/>
          <w:szCs w:val="32"/>
        </w:rPr>
        <w:t>丽水市民政局其他运转类项目和特定目标类项目均实行绩效目标管理，共计3个一级项目，涉及当年资金3246.91万元。同时，将按照相关制度规定开展绩效自评。一级项目绩效目标表，详见“</w:t>
      </w:r>
      <w:r>
        <w:rPr>
          <w:rFonts w:hint="eastAsia" w:ascii="仿宋_GB2312" w:hAnsi="仿宋_GB2312" w:eastAsia="仿宋_GB2312" w:cs="仿宋_GB2312"/>
          <w:sz w:val="32"/>
          <w:szCs w:val="32"/>
        </w:rPr>
        <w:t>单位</w:t>
      </w:r>
      <w:r>
        <w:rPr>
          <w:rFonts w:ascii="仿宋_GB2312" w:hAnsi="仿宋_GB2312" w:eastAsia="仿宋_GB2312" w:cs="仿宋_GB2312"/>
          <w:sz w:val="32"/>
          <w:szCs w:val="32"/>
        </w:rPr>
        <w:t>项目支出绩效表”</w:t>
      </w:r>
      <w:r>
        <w:rPr>
          <w:rFonts w:hint="eastAsia" w:ascii="仿宋_GB2312" w:hAnsi="仿宋_GB2312" w:eastAsia="仿宋_GB2312" w:cs="仿宋_GB2312"/>
          <w:sz w:val="32"/>
          <w:szCs w:val="32"/>
        </w:rPr>
        <w:t>。</w:t>
      </w:r>
    </w:p>
    <w:p>
      <w:pPr>
        <w:pStyle w:val="14"/>
        <w:spacing w:line="520" w:lineRule="exact"/>
        <w:ind w:firstLine="640" w:firstLineChars="200"/>
        <w:rPr>
          <w:rFonts w:ascii="黑体" w:hAnsi="黑体" w:eastAsia="黑体" w:cs="黑体"/>
          <w:bCs/>
          <w:kern w:val="2"/>
          <w:sz w:val="32"/>
          <w:szCs w:val="32"/>
        </w:rPr>
      </w:pPr>
      <w:r>
        <w:rPr>
          <w:rFonts w:hint="eastAsia" w:ascii="黑体" w:hAnsi="黑体" w:eastAsia="黑体" w:cs="黑体"/>
          <w:bCs/>
          <w:kern w:val="2"/>
          <w:sz w:val="32"/>
          <w:szCs w:val="32"/>
        </w:rPr>
        <w:t>三、名词解释</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1.财政拨款收入：本级财政部门当年拨付的财政预算资金，包括一般公共预算财政拨款</w:t>
      </w:r>
      <w:r>
        <w:rPr>
          <w:rFonts w:hint="eastAsia" w:ascii="仿宋_GB2312" w:eastAsia="仿宋_GB2312"/>
          <w:color w:val="000000"/>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政府性基金预算财政拨款和国有资本经营预算拨款。</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2.基本支出：是预算单位为保障其正常运转，完成日常工作任务所发生的支出，包括人员支出和日常公用支出。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3.项目支出：是预算单位为完成其特定的行政工作任务或事业发展目标所发生的支出。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三公”经费：纳入财政预决算管理的“三公”经费，是指部门用一般公共预算财政拨款安排的因公出国（境）费、公务用车购置及运行费和公务接待费。其中，因公出国（境）费反映单位公务出国（境）的国际旅费、国外城市间交通费、住宿费、伙食费、培训费、公杂费等支出，不含教学科研人员学术交流；公务用车购置及运行费反映单位公务用车车辆购置支出（含车辆购置税）及燃料费、维修费、过桥过路费、保险费、安全奖励费用等支出；公务接待费反映单位按规定开支的各类公务接待（含外宾接待）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0" w:firstLineChars="200"/>
        <w:rPr>
          <w:rFonts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6</w:t>
      </w:r>
      <w:r>
        <w:rPr>
          <w:rFonts w:hint="eastAsia" w:ascii="仿宋_GB2312" w:hAnsi="宋体" w:eastAsia="仿宋_GB2312" w:cs="宋体"/>
          <w:b w:val="0"/>
          <w:bCs w:val="0"/>
          <w:color w:val="000000"/>
          <w:kern w:val="0"/>
          <w:sz w:val="32"/>
          <w:szCs w:val="32"/>
        </w:rPr>
        <w:t>．社会保障和就业支出（类）-行政事业单位离退休（款）-未归口管理的行政单位离退休（项）：指反映未实行归口管理的行政单位（包括实行公务员管理的事业单位）开支的离退休支出。</w:t>
      </w:r>
    </w:p>
    <w:p>
      <w:pPr>
        <w:spacing w:line="560" w:lineRule="exact"/>
        <w:ind w:firstLine="640" w:firstLineChars="200"/>
        <w:rPr>
          <w:rFonts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7</w:t>
      </w:r>
      <w:r>
        <w:rPr>
          <w:rFonts w:hint="eastAsia" w:ascii="仿宋_GB2312" w:hAnsi="宋体" w:eastAsia="仿宋_GB2312" w:cs="宋体"/>
          <w:b w:val="0"/>
          <w:bCs w:val="0"/>
          <w:color w:val="000000"/>
          <w:kern w:val="0"/>
          <w:sz w:val="32"/>
          <w:szCs w:val="32"/>
        </w:rPr>
        <w:t>．社会保障和就业支出（类）-行政事业单位养老支出（款）-机关事业单位基本养老保险缴费支出（项）：指反映机关事业单位实施养老保险制度由单位实施缴纳的基本养老保险费支出。</w:t>
      </w:r>
    </w:p>
    <w:p>
      <w:pPr>
        <w:spacing w:line="560" w:lineRule="exact"/>
        <w:ind w:firstLine="640" w:firstLineChars="200"/>
        <w:rPr>
          <w:rFonts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8</w:t>
      </w:r>
      <w:r>
        <w:rPr>
          <w:rFonts w:hint="eastAsia" w:ascii="仿宋_GB2312" w:hAnsi="宋体" w:eastAsia="仿宋_GB2312" w:cs="宋体"/>
          <w:b w:val="0"/>
          <w:bCs w:val="0"/>
          <w:color w:val="000000"/>
          <w:kern w:val="0"/>
          <w:sz w:val="32"/>
          <w:szCs w:val="32"/>
        </w:rPr>
        <w:t>．社会保障和就业支出（类）-行政事业单位养老支出（款）-机关事业单位职业年金缴费支出（项）：指反映机关事业单位实施养老保险制度由单位实施缴纳的职业年金支出。</w:t>
      </w:r>
    </w:p>
    <w:p>
      <w:pPr>
        <w:pStyle w:val="2"/>
        <w:ind w:firstLine="640" w:firstLineChars="200"/>
        <w:rPr>
          <w:rFonts w:hint="default"/>
          <w:b w:val="0"/>
          <w:bCs w:val="0"/>
        </w:rPr>
      </w:pPr>
      <w:r>
        <w:rPr>
          <w:rFonts w:hint="eastAsia" w:hAnsi="宋体" w:cs="宋体"/>
          <w:b w:val="0"/>
          <w:bCs w:val="0"/>
          <w:sz w:val="32"/>
          <w:szCs w:val="32"/>
          <w:lang w:val="en-US" w:eastAsia="zh-CN"/>
        </w:rPr>
        <w:t>9</w:t>
      </w:r>
      <w:r>
        <w:rPr>
          <w:rFonts w:hAnsi="宋体" w:cs="宋体"/>
          <w:b w:val="0"/>
          <w:bCs w:val="0"/>
          <w:sz w:val="32"/>
          <w:szCs w:val="32"/>
        </w:rPr>
        <w:t>．社会保障和就业支出（类）-其他社会保障和就业支出（款）-其他社会保障和就业支出（项）：指反映除上述项目以外其他用于社会保障和就业方面的支出。</w:t>
      </w:r>
    </w:p>
    <w:p>
      <w:pPr>
        <w:spacing w:line="560" w:lineRule="exact"/>
        <w:ind w:firstLine="640" w:firstLineChars="200"/>
        <w:rPr>
          <w:rFonts w:hint="eastAsia"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10</w:t>
      </w:r>
      <w:r>
        <w:rPr>
          <w:rFonts w:hint="eastAsia" w:ascii="仿宋_GB2312" w:hAnsi="宋体" w:eastAsia="仿宋_GB2312" w:cs="宋体"/>
          <w:b w:val="0"/>
          <w:bCs w:val="0"/>
          <w:color w:val="000000"/>
          <w:kern w:val="0"/>
          <w:sz w:val="32"/>
          <w:szCs w:val="32"/>
        </w:rPr>
        <w:t>．卫生健康支出（类）-行政事业单位医疗（款）-</w:t>
      </w:r>
      <w:r>
        <w:rPr>
          <w:rFonts w:hint="eastAsia" w:ascii="仿宋_GB2312" w:hAnsi="宋体" w:eastAsia="仿宋_GB2312" w:cs="宋体"/>
          <w:b w:val="0"/>
          <w:bCs w:val="0"/>
          <w:color w:val="000000"/>
          <w:kern w:val="0"/>
          <w:sz w:val="32"/>
          <w:szCs w:val="32"/>
          <w:lang w:val="en-US" w:eastAsia="zh-CN"/>
        </w:rPr>
        <w:t>机关</w:t>
      </w:r>
      <w:r>
        <w:rPr>
          <w:rFonts w:hint="eastAsia" w:ascii="仿宋_GB2312" w:hAnsi="宋体" w:eastAsia="仿宋_GB2312" w:cs="宋体"/>
          <w:b w:val="0"/>
          <w:bCs w:val="0"/>
          <w:color w:val="000000"/>
          <w:kern w:val="0"/>
          <w:sz w:val="32"/>
          <w:szCs w:val="32"/>
        </w:rPr>
        <w:t>单位医疗（项）：指反映财政部门安排的</w:t>
      </w:r>
      <w:r>
        <w:rPr>
          <w:rFonts w:hint="eastAsia" w:ascii="仿宋_GB2312" w:hAnsi="宋体" w:eastAsia="仿宋_GB2312" w:cs="宋体"/>
          <w:b w:val="0"/>
          <w:bCs w:val="0"/>
          <w:color w:val="000000"/>
          <w:kern w:val="0"/>
          <w:sz w:val="32"/>
          <w:szCs w:val="32"/>
          <w:lang w:val="en-US" w:eastAsia="zh-CN"/>
        </w:rPr>
        <w:t>机关</w:t>
      </w:r>
      <w:r>
        <w:rPr>
          <w:rFonts w:hint="eastAsia" w:ascii="仿宋_GB2312" w:hAnsi="宋体" w:eastAsia="仿宋_GB2312" w:cs="宋体"/>
          <w:b w:val="0"/>
          <w:bCs w:val="0"/>
          <w:color w:val="000000"/>
          <w:kern w:val="0"/>
          <w:sz w:val="32"/>
          <w:szCs w:val="32"/>
        </w:rPr>
        <w:t>单位基本医疗保险缴费经费，未参加医疗保险的行政单位的公费医疗经费，按国家规定标准享受离休人员待遇的医疗经费。</w:t>
      </w:r>
    </w:p>
    <w:p>
      <w:pPr>
        <w:spacing w:line="560" w:lineRule="exact"/>
        <w:ind w:firstLine="640" w:firstLineChars="200"/>
        <w:rPr>
          <w:rFonts w:hint="eastAsia"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11</w:t>
      </w:r>
      <w:r>
        <w:rPr>
          <w:rFonts w:hint="eastAsia" w:ascii="仿宋_GB2312" w:hAnsi="宋体" w:eastAsia="仿宋_GB2312" w:cs="宋体"/>
          <w:b w:val="0"/>
          <w:bCs w:val="0"/>
          <w:color w:val="000000"/>
          <w:kern w:val="0"/>
          <w:sz w:val="32"/>
          <w:szCs w:val="32"/>
        </w:rPr>
        <w:t>．社会保障和就业支出（类）-</w:t>
      </w:r>
      <w:r>
        <w:rPr>
          <w:rFonts w:hint="eastAsia" w:ascii="仿宋_GB2312" w:hAnsi="仿宋_GB2312" w:eastAsia="仿宋_GB2312" w:cs="仿宋_GB2312"/>
          <w:b w:val="0"/>
          <w:bCs w:val="0"/>
          <w:color w:val="000000"/>
          <w:sz w:val="32"/>
          <w:szCs w:val="32"/>
        </w:rPr>
        <w:t>民政管理事务（款）-其他民政管理事务支出（项）：反映民政部门接待来访、法制建设、政策宣传方面的支出，经及开展社会救助、社会福利、养老服务、社会事务、信息化建设等方面的支出。</w:t>
      </w:r>
    </w:p>
    <w:p>
      <w:pPr>
        <w:spacing w:line="560" w:lineRule="exact"/>
        <w:ind w:firstLine="640" w:firstLineChars="200"/>
        <w:rPr>
          <w:rFonts w:hint="eastAsia"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12</w:t>
      </w:r>
      <w:r>
        <w:rPr>
          <w:rFonts w:hint="eastAsia" w:ascii="仿宋_GB2312" w:hAnsi="宋体" w:eastAsia="仿宋_GB2312" w:cs="宋体"/>
          <w:b w:val="0"/>
          <w:bCs w:val="0"/>
          <w:color w:val="000000"/>
          <w:kern w:val="0"/>
          <w:sz w:val="32"/>
          <w:szCs w:val="32"/>
        </w:rPr>
        <w:t>．其他支出（类）-彩票公益金安排的支出（款）-用于社会福利的彩票公益金支出（项）：指用于社会福利彩票公益金支出。</w:t>
      </w:r>
    </w:p>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2"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3F62F"/>
    <w:multiLevelType w:val="singleLevel"/>
    <w:tmpl w:val="5893F62F"/>
    <w:lvl w:ilvl="0" w:tentative="0">
      <w:start w:val="2"/>
      <w:numFmt w:val="decimal"/>
      <w:suff w:val="nothing"/>
      <w:lvlText w:val="%1."/>
      <w:lvlJc w:val="left"/>
    </w:lvl>
  </w:abstractNum>
  <w:abstractNum w:abstractNumId="1">
    <w:nsid w:val="5895A99C"/>
    <w:multiLevelType w:val="singleLevel"/>
    <w:tmpl w:val="5895A99C"/>
    <w:lvl w:ilvl="0" w:tentative="0">
      <w:start w:val="5"/>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8453C"/>
    <w:rsid w:val="00037FBA"/>
    <w:rsid w:val="00084C3B"/>
    <w:rsid w:val="000F6704"/>
    <w:rsid w:val="0014553D"/>
    <w:rsid w:val="00151805"/>
    <w:rsid w:val="0018453C"/>
    <w:rsid w:val="001C6D6F"/>
    <w:rsid w:val="001D7273"/>
    <w:rsid w:val="001F186B"/>
    <w:rsid w:val="0025199F"/>
    <w:rsid w:val="00262BFB"/>
    <w:rsid w:val="002E190E"/>
    <w:rsid w:val="00312421"/>
    <w:rsid w:val="0034320B"/>
    <w:rsid w:val="0035041B"/>
    <w:rsid w:val="00352D79"/>
    <w:rsid w:val="003533AA"/>
    <w:rsid w:val="00372A55"/>
    <w:rsid w:val="003A54FF"/>
    <w:rsid w:val="003E68CE"/>
    <w:rsid w:val="004C1A7E"/>
    <w:rsid w:val="004E07B6"/>
    <w:rsid w:val="004F65D0"/>
    <w:rsid w:val="004F6D96"/>
    <w:rsid w:val="0054517F"/>
    <w:rsid w:val="0055355B"/>
    <w:rsid w:val="00576237"/>
    <w:rsid w:val="005B1AB5"/>
    <w:rsid w:val="005D0D77"/>
    <w:rsid w:val="005E0A27"/>
    <w:rsid w:val="005E47B3"/>
    <w:rsid w:val="005E7D52"/>
    <w:rsid w:val="00655F61"/>
    <w:rsid w:val="006B2E4F"/>
    <w:rsid w:val="006C39E2"/>
    <w:rsid w:val="006D5442"/>
    <w:rsid w:val="006D7FE3"/>
    <w:rsid w:val="006E085B"/>
    <w:rsid w:val="006F455E"/>
    <w:rsid w:val="007072D9"/>
    <w:rsid w:val="00731A0A"/>
    <w:rsid w:val="0073245A"/>
    <w:rsid w:val="00755A48"/>
    <w:rsid w:val="007715EF"/>
    <w:rsid w:val="007A0C65"/>
    <w:rsid w:val="007B431F"/>
    <w:rsid w:val="007D24B2"/>
    <w:rsid w:val="007E4CC3"/>
    <w:rsid w:val="00801E01"/>
    <w:rsid w:val="00823268"/>
    <w:rsid w:val="00834DDF"/>
    <w:rsid w:val="00850DC9"/>
    <w:rsid w:val="0089440C"/>
    <w:rsid w:val="00937AE8"/>
    <w:rsid w:val="009415A1"/>
    <w:rsid w:val="009427F2"/>
    <w:rsid w:val="009A7459"/>
    <w:rsid w:val="009B71E7"/>
    <w:rsid w:val="00A76362"/>
    <w:rsid w:val="00A86842"/>
    <w:rsid w:val="00AB2741"/>
    <w:rsid w:val="00B109C2"/>
    <w:rsid w:val="00B85FDA"/>
    <w:rsid w:val="00BA6311"/>
    <w:rsid w:val="00C35F38"/>
    <w:rsid w:val="00C35FDD"/>
    <w:rsid w:val="00C47BB8"/>
    <w:rsid w:val="00C50353"/>
    <w:rsid w:val="00C52D1F"/>
    <w:rsid w:val="00CC1B9F"/>
    <w:rsid w:val="00CE3F52"/>
    <w:rsid w:val="00D7617F"/>
    <w:rsid w:val="00D81B35"/>
    <w:rsid w:val="00DA4451"/>
    <w:rsid w:val="00DA6F5B"/>
    <w:rsid w:val="00DA7F84"/>
    <w:rsid w:val="00DF037C"/>
    <w:rsid w:val="00E16F71"/>
    <w:rsid w:val="00E20FB4"/>
    <w:rsid w:val="00E40834"/>
    <w:rsid w:val="00E429D8"/>
    <w:rsid w:val="00E44C58"/>
    <w:rsid w:val="00E61E40"/>
    <w:rsid w:val="00E925CD"/>
    <w:rsid w:val="00E95C9E"/>
    <w:rsid w:val="00ED0384"/>
    <w:rsid w:val="00F23B56"/>
    <w:rsid w:val="00F56A05"/>
    <w:rsid w:val="00F7116F"/>
    <w:rsid w:val="01405C62"/>
    <w:rsid w:val="01F263DB"/>
    <w:rsid w:val="01F648EB"/>
    <w:rsid w:val="024C6702"/>
    <w:rsid w:val="026505B4"/>
    <w:rsid w:val="028630A1"/>
    <w:rsid w:val="02FD4879"/>
    <w:rsid w:val="038C7FF1"/>
    <w:rsid w:val="03AA3E3B"/>
    <w:rsid w:val="03EA5C50"/>
    <w:rsid w:val="0458580D"/>
    <w:rsid w:val="04600135"/>
    <w:rsid w:val="05054F3D"/>
    <w:rsid w:val="05F46152"/>
    <w:rsid w:val="05F835B0"/>
    <w:rsid w:val="06113422"/>
    <w:rsid w:val="063B27DE"/>
    <w:rsid w:val="065E25EC"/>
    <w:rsid w:val="06835E42"/>
    <w:rsid w:val="06F965CB"/>
    <w:rsid w:val="07487AC1"/>
    <w:rsid w:val="07623DA7"/>
    <w:rsid w:val="081119C7"/>
    <w:rsid w:val="08DE4DFD"/>
    <w:rsid w:val="0A1D1E06"/>
    <w:rsid w:val="0A4C7CCD"/>
    <w:rsid w:val="0B486D9D"/>
    <w:rsid w:val="0B4F52A1"/>
    <w:rsid w:val="0B652DFD"/>
    <w:rsid w:val="0B654246"/>
    <w:rsid w:val="0BD448F3"/>
    <w:rsid w:val="0C2B61AE"/>
    <w:rsid w:val="0C7B7749"/>
    <w:rsid w:val="0CE2397A"/>
    <w:rsid w:val="0CEE5818"/>
    <w:rsid w:val="0DDF3EA9"/>
    <w:rsid w:val="0F0A0BC6"/>
    <w:rsid w:val="0F216C64"/>
    <w:rsid w:val="0F3E23E2"/>
    <w:rsid w:val="0F5C4EB1"/>
    <w:rsid w:val="0F760C96"/>
    <w:rsid w:val="0F8B51E9"/>
    <w:rsid w:val="0FEA06B3"/>
    <w:rsid w:val="106B2554"/>
    <w:rsid w:val="1085571C"/>
    <w:rsid w:val="10AD6224"/>
    <w:rsid w:val="113F3673"/>
    <w:rsid w:val="113F7BA5"/>
    <w:rsid w:val="12970A77"/>
    <w:rsid w:val="12D300E7"/>
    <w:rsid w:val="136B79EF"/>
    <w:rsid w:val="1370543F"/>
    <w:rsid w:val="13811EEE"/>
    <w:rsid w:val="13FF3975"/>
    <w:rsid w:val="14861683"/>
    <w:rsid w:val="14887B46"/>
    <w:rsid w:val="14A318B5"/>
    <w:rsid w:val="14EF3497"/>
    <w:rsid w:val="153C45B3"/>
    <w:rsid w:val="157947AC"/>
    <w:rsid w:val="15DB09EF"/>
    <w:rsid w:val="1650535C"/>
    <w:rsid w:val="16B75B8F"/>
    <w:rsid w:val="16FE1938"/>
    <w:rsid w:val="170C3948"/>
    <w:rsid w:val="178056C8"/>
    <w:rsid w:val="17EC7FC1"/>
    <w:rsid w:val="17F81734"/>
    <w:rsid w:val="180061CB"/>
    <w:rsid w:val="18154C5A"/>
    <w:rsid w:val="18EF3804"/>
    <w:rsid w:val="19001E74"/>
    <w:rsid w:val="195C3A7E"/>
    <w:rsid w:val="1A2375F0"/>
    <w:rsid w:val="1AC0275A"/>
    <w:rsid w:val="1AE500E3"/>
    <w:rsid w:val="1B1D1342"/>
    <w:rsid w:val="1B2A6629"/>
    <w:rsid w:val="1BBC2184"/>
    <w:rsid w:val="1C103D2D"/>
    <w:rsid w:val="1C1965EC"/>
    <w:rsid w:val="1C7701B9"/>
    <w:rsid w:val="1CEA3F89"/>
    <w:rsid w:val="1CF73295"/>
    <w:rsid w:val="1D451326"/>
    <w:rsid w:val="1D5F4748"/>
    <w:rsid w:val="1D99665F"/>
    <w:rsid w:val="1E621D9B"/>
    <w:rsid w:val="1E9448CB"/>
    <w:rsid w:val="1E945AB3"/>
    <w:rsid w:val="1EA3498E"/>
    <w:rsid w:val="1EFB5835"/>
    <w:rsid w:val="1F5052F4"/>
    <w:rsid w:val="1F8A1433"/>
    <w:rsid w:val="1FD94E57"/>
    <w:rsid w:val="205247F6"/>
    <w:rsid w:val="205508A0"/>
    <w:rsid w:val="206501BF"/>
    <w:rsid w:val="20C21B5F"/>
    <w:rsid w:val="20D8491F"/>
    <w:rsid w:val="2163103A"/>
    <w:rsid w:val="217D79B3"/>
    <w:rsid w:val="219B3B12"/>
    <w:rsid w:val="219E2440"/>
    <w:rsid w:val="21F8300E"/>
    <w:rsid w:val="22D4227E"/>
    <w:rsid w:val="22E57844"/>
    <w:rsid w:val="22FA27EC"/>
    <w:rsid w:val="230477A4"/>
    <w:rsid w:val="234550B7"/>
    <w:rsid w:val="2384696C"/>
    <w:rsid w:val="23B968AE"/>
    <w:rsid w:val="240772FF"/>
    <w:rsid w:val="24183DF0"/>
    <w:rsid w:val="247778DD"/>
    <w:rsid w:val="247A77A8"/>
    <w:rsid w:val="24D6630F"/>
    <w:rsid w:val="24F84929"/>
    <w:rsid w:val="252A0A7B"/>
    <w:rsid w:val="257B506C"/>
    <w:rsid w:val="259F7519"/>
    <w:rsid w:val="25AF42DB"/>
    <w:rsid w:val="25B348BA"/>
    <w:rsid w:val="25DE1005"/>
    <w:rsid w:val="25FD2566"/>
    <w:rsid w:val="26146B0C"/>
    <w:rsid w:val="26816946"/>
    <w:rsid w:val="26DB7398"/>
    <w:rsid w:val="2701700E"/>
    <w:rsid w:val="27033FBD"/>
    <w:rsid w:val="2705728B"/>
    <w:rsid w:val="27417BF8"/>
    <w:rsid w:val="27693B45"/>
    <w:rsid w:val="27C22112"/>
    <w:rsid w:val="283A129B"/>
    <w:rsid w:val="28FE78EF"/>
    <w:rsid w:val="29672817"/>
    <w:rsid w:val="29763DAA"/>
    <w:rsid w:val="29954B63"/>
    <w:rsid w:val="29A41943"/>
    <w:rsid w:val="29B831E7"/>
    <w:rsid w:val="29DF16A7"/>
    <w:rsid w:val="29F74F67"/>
    <w:rsid w:val="2A484907"/>
    <w:rsid w:val="2B755902"/>
    <w:rsid w:val="2BA81833"/>
    <w:rsid w:val="2BAC3F70"/>
    <w:rsid w:val="2BB02AB9"/>
    <w:rsid w:val="2C56166B"/>
    <w:rsid w:val="2C772798"/>
    <w:rsid w:val="2CE33635"/>
    <w:rsid w:val="2D391980"/>
    <w:rsid w:val="2D7C6F9A"/>
    <w:rsid w:val="2ED263DE"/>
    <w:rsid w:val="2F312BD6"/>
    <w:rsid w:val="2F4F315F"/>
    <w:rsid w:val="2F5260FE"/>
    <w:rsid w:val="2F78760A"/>
    <w:rsid w:val="30780EC9"/>
    <w:rsid w:val="309A0801"/>
    <w:rsid w:val="31651329"/>
    <w:rsid w:val="31C46552"/>
    <w:rsid w:val="31EC7268"/>
    <w:rsid w:val="32691E0F"/>
    <w:rsid w:val="33722AF4"/>
    <w:rsid w:val="339F6CDD"/>
    <w:rsid w:val="344952F9"/>
    <w:rsid w:val="34962644"/>
    <w:rsid w:val="34F20284"/>
    <w:rsid w:val="3619346A"/>
    <w:rsid w:val="366152C5"/>
    <w:rsid w:val="37DD34EA"/>
    <w:rsid w:val="3859649B"/>
    <w:rsid w:val="386D2696"/>
    <w:rsid w:val="38CA384A"/>
    <w:rsid w:val="39227B1B"/>
    <w:rsid w:val="39406911"/>
    <w:rsid w:val="39850296"/>
    <w:rsid w:val="39C26750"/>
    <w:rsid w:val="3A7F1D43"/>
    <w:rsid w:val="3A8D223E"/>
    <w:rsid w:val="3AE20763"/>
    <w:rsid w:val="3B291386"/>
    <w:rsid w:val="3B563038"/>
    <w:rsid w:val="3B7A306D"/>
    <w:rsid w:val="3B80307E"/>
    <w:rsid w:val="3BCA7BD7"/>
    <w:rsid w:val="3C6C37E2"/>
    <w:rsid w:val="3C7D1C3F"/>
    <w:rsid w:val="3CDF42B5"/>
    <w:rsid w:val="3CEA3E5A"/>
    <w:rsid w:val="3CFD6A0C"/>
    <w:rsid w:val="3DDA1E4D"/>
    <w:rsid w:val="400943B7"/>
    <w:rsid w:val="40143523"/>
    <w:rsid w:val="406B2735"/>
    <w:rsid w:val="40BE1C41"/>
    <w:rsid w:val="4171469C"/>
    <w:rsid w:val="41857EAB"/>
    <w:rsid w:val="42C454C8"/>
    <w:rsid w:val="42EC4BA0"/>
    <w:rsid w:val="43482ADF"/>
    <w:rsid w:val="43497E11"/>
    <w:rsid w:val="438C52D1"/>
    <w:rsid w:val="43AF1DC7"/>
    <w:rsid w:val="442360D8"/>
    <w:rsid w:val="450B3104"/>
    <w:rsid w:val="45374F70"/>
    <w:rsid w:val="45A32D85"/>
    <w:rsid w:val="45E922E2"/>
    <w:rsid w:val="46181B9F"/>
    <w:rsid w:val="46B73DB3"/>
    <w:rsid w:val="46B85A12"/>
    <w:rsid w:val="46C20ABF"/>
    <w:rsid w:val="471C5409"/>
    <w:rsid w:val="475E76EE"/>
    <w:rsid w:val="47B54AE2"/>
    <w:rsid w:val="47C24104"/>
    <w:rsid w:val="484652C3"/>
    <w:rsid w:val="489E735B"/>
    <w:rsid w:val="48EF215B"/>
    <w:rsid w:val="49547ADE"/>
    <w:rsid w:val="499358EA"/>
    <w:rsid w:val="49A70025"/>
    <w:rsid w:val="4A9518DB"/>
    <w:rsid w:val="4AB935E6"/>
    <w:rsid w:val="4B1F601E"/>
    <w:rsid w:val="4B65339C"/>
    <w:rsid w:val="4BE2220E"/>
    <w:rsid w:val="4CBF2857"/>
    <w:rsid w:val="4CF82AE4"/>
    <w:rsid w:val="4D097364"/>
    <w:rsid w:val="4D667BB3"/>
    <w:rsid w:val="4D7808AB"/>
    <w:rsid w:val="4DC87963"/>
    <w:rsid w:val="4E0626FD"/>
    <w:rsid w:val="4EA45B39"/>
    <w:rsid w:val="4EC41BC6"/>
    <w:rsid w:val="4EED2017"/>
    <w:rsid w:val="4F2E2211"/>
    <w:rsid w:val="4F4E78CD"/>
    <w:rsid w:val="4FA62E1E"/>
    <w:rsid w:val="4FAC0AB2"/>
    <w:rsid w:val="4FC809F8"/>
    <w:rsid w:val="4FE85961"/>
    <w:rsid w:val="50072C4D"/>
    <w:rsid w:val="50341189"/>
    <w:rsid w:val="50837233"/>
    <w:rsid w:val="514C5668"/>
    <w:rsid w:val="51513799"/>
    <w:rsid w:val="518C29B6"/>
    <w:rsid w:val="52170DB7"/>
    <w:rsid w:val="52AA23A8"/>
    <w:rsid w:val="52B7187A"/>
    <w:rsid w:val="52BF3A93"/>
    <w:rsid w:val="53A5465B"/>
    <w:rsid w:val="53B6028C"/>
    <w:rsid w:val="54392B16"/>
    <w:rsid w:val="54442E65"/>
    <w:rsid w:val="545B2AA1"/>
    <w:rsid w:val="549B5701"/>
    <w:rsid w:val="54A9277D"/>
    <w:rsid w:val="55182E77"/>
    <w:rsid w:val="553F16B7"/>
    <w:rsid w:val="557F3FFB"/>
    <w:rsid w:val="558856A9"/>
    <w:rsid w:val="55CA2A9E"/>
    <w:rsid w:val="55CA3B80"/>
    <w:rsid w:val="55E50F1B"/>
    <w:rsid w:val="565F6886"/>
    <w:rsid w:val="56BC237C"/>
    <w:rsid w:val="56CD4B4D"/>
    <w:rsid w:val="575C7815"/>
    <w:rsid w:val="5798381B"/>
    <w:rsid w:val="57D4447A"/>
    <w:rsid w:val="57F759F2"/>
    <w:rsid w:val="585447AE"/>
    <w:rsid w:val="58AF736D"/>
    <w:rsid w:val="58D704D4"/>
    <w:rsid w:val="58EC4DE1"/>
    <w:rsid w:val="596B72CE"/>
    <w:rsid w:val="59B3494A"/>
    <w:rsid w:val="59EB1B1F"/>
    <w:rsid w:val="59EC6E24"/>
    <w:rsid w:val="5A0B2520"/>
    <w:rsid w:val="5A186813"/>
    <w:rsid w:val="5A3B2376"/>
    <w:rsid w:val="5A40591F"/>
    <w:rsid w:val="5A6F0692"/>
    <w:rsid w:val="5ABF2E42"/>
    <w:rsid w:val="5B586398"/>
    <w:rsid w:val="5B5E26D5"/>
    <w:rsid w:val="5B916903"/>
    <w:rsid w:val="5BEF472E"/>
    <w:rsid w:val="5C932202"/>
    <w:rsid w:val="5CC87E6F"/>
    <w:rsid w:val="5CD918EA"/>
    <w:rsid w:val="5D247D3D"/>
    <w:rsid w:val="5DAE1AC9"/>
    <w:rsid w:val="5E153AF5"/>
    <w:rsid w:val="5F0E1E7F"/>
    <w:rsid w:val="5F112305"/>
    <w:rsid w:val="5F2767B3"/>
    <w:rsid w:val="5FA82037"/>
    <w:rsid w:val="5FE31F70"/>
    <w:rsid w:val="60045498"/>
    <w:rsid w:val="614C1844"/>
    <w:rsid w:val="617A6C2D"/>
    <w:rsid w:val="61855523"/>
    <w:rsid w:val="618968F0"/>
    <w:rsid w:val="619E6355"/>
    <w:rsid w:val="61BD64DA"/>
    <w:rsid w:val="6215384D"/>
    <w:rsid w:val="627460EE"/>
    <w:rsid w:val="62AC06BC"/>
    <w:rsid w:val="62AD7716"/>
    <w:rsid w:val="633B4987"/>
    <w:rsid w:val="63525D55"/>
    <w:rsid w:val="63F321C7"/>
    <w:rsid w:val="64BD699D"/>
    <w:rsid w:val="64C20A08"/>
    <w:rsid w:val="64F06443"/>
    <w:rsid w:val="65737FB9"/>
    <w:rsid w:val="65DF5ECF"/>
    <w:rsid w:val="661D7FD4"/>
    <w:rsid w:val="665A45AE"/>
    <w:rsid w:val="66A662C4"/>
    <w:rsid w:val="66DE2D4E"/>
    <w:rsid w:val="67222B8A"/>
    <w:rsid w:val="679D182D"/>
    <w:rsid w:val="67BB6396"/>
    <w:rsid w:val="68794E30"/>
    <w:rsid w:val="687B5327"/>
    <w:rsid w:val="688621C1"/>
    <w:rsid w:val="68C15BDE"/>
    <w:rsid w:val="6AD23ACD"/>
    <w:rsid w:val="6AE706B2"/>
    <w:rsid w:val="6B103823"/>
    <w:rsid w:val="6B315A81"/>
    <w:rsid w:val="6B4E7636"/>
    <w:rsid w:val="6C3F4637"/>
    <w:rsid w:val="6C9D07C7"/>
    <w:rsid w:val="6CB426A8"/>
    <w:rsid w:val="6D3835CD"/>
    <w:rsid w:val="6D9B59D3"/>
    <w:rsid w:val="6DDF18A8"/>
    <w:rsid w:val="6E7742D5"/>
    <w:rsid w:val="6E947A29"/>
    <w:rsid w:val="6EFB1E55"/>
    <w:rsid w:val="701E0D35"/>
    <w:rsid w:val="708C2BAE"/>
    <w:rsid w:val="717A54B6"/>
    <w:rsid w:val="71E47115"/>
    <w:rsid w:val="72124418"/>
    <w:rsid w:val="72BF52A3"/>
    <w:rsid w:val="73520170"/>
    <w:rsid w:val="73B32D5B"/>
    <w:rsid w:val="74906E74"/>
    <w:rsid w:val="74D2633E"/>
    <w:rsid w:val="75061B64"/>
    <w:rsid w:val="75127B2A"/>
    <w:rsid w:val="756B70AB"/>
    <w:rsid w:val="762D45E7"/>
    <w:rsid w:val="76432C97"/>
    <w:rsid w:val="76472E5B"/>
    <w:rsid w:val="76622032"/>
    <w:rsid w:val="76DA2B8D"/>
    <w:rsid w:val="773F1B2E"/>
    <w:rsid w:val="776141C0"/>
    <w:rsid w:val="77E71EE7"/>
    <w:rsid w:val="78403651"/>
    <w:rsid w:val="784051C1"/>
    <w:rsid w:val="789E16E5"/>
    <w:rsid w:val="78DB40C6"/>
    <w:rsid w:val="7954401D"/>
    <w:rsid w:val="79547EF1"/>
    <w:rsid w:val="79A24C96"/>
    <w:rsid w:val="7AC02D1F"/>
    <w:rsid w:val="7ADA205F"/>
    <w:rsid w:val="7AE80A7B"/>
    <w:rsid w:val="7AE861A8"/>
    <w:rsid w:val="7B452E9A"/>
    <w:rsid w:val="7B5C7060"/>
    <w:rsid w:val="7B5E14E4"/>
    <w:rsid w:val="7B741965"/>
    <w:rsid w:val="7BBF78B4"/>
    <w:rsid w:val="7BFE30BC"/>
    <w:rsid w:val="7C0A7BF1"/>
    <w:rsid w:val="7CD24C07"/>
    <w:rsid w:val="7CDD0037"/>
    <w:rsid w:val="7D2C5AF6"/>
    <w:rsid w:val="7D8F4D87"/>
    <w:rsid w:val="7DBB66FE"/>
    <w:rsid w:val="7DBE27C1"/>
    <w:rsid w:val="7DCA5F0F"/>
    <w:rsid w:val="7E1F736F"/>
    <w:rsid w:val="7E300305"/>
    <w:rsid w:val="7E7D74C3"/>
    <w:rsid w:val="7EB52BD6"/>
    <w:rsid w:val="7F346A78"/>
    <w:rsid w:val="7FA57776"/>
    <w:rsid w:val="7FC250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styleId="3">
    <w:name w:val="Document Map"/>
    <w:basedOn w:val="1"/>
    <w:semiHidden/>
    <w:qFormat/>
    <w:uiPriority w:val="0"/>
    <w:pPr>
      <w:shd w:val="clear" w:color="auto" w:fill="00008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paragraph" w:customStyle="1" w:styleId="10">
    <w:name w:val="Char"/>
    <w:basedOn w:val="1"/>
    <w:qFormat/>
    <w:uiPriority w:val="0"/>
    <w:rPr>
      <w:rFonts w:ascii="宋体" w:hAnsi="宋体" w:cs="Courier New"/>
      <w:sz w:val="32"/>
      <w:szCs w:val="32"/>
    </w:rPr>
  </w:style>
  <w:style w:type="character" w:customStyle="1" w:styleId="11">
    <w:name w:val="页眉 Char"/>
    <w:link w:val="5"/>
    <w:qFormat/>
    <w:uiPriority w:val="0"/>
    <w:rPr>
      <w:kern w:val="2"/>
      <w:sz w:val="18"/>
      <w:szCs w:val="18"/>
    </w:rPr>
  </w:style>
  <w:style w:type="character" w:customStyle="1" w:styleId="12">
    <w:name w:val="页脚 Char"/>
    <w:link w:val="4"/>
    <w:qFormat/>
    <w:uiPriority w:val="0"/>
    <w:rPr>
      <w:kern w:val="2"/>
      <w:sz w:val="18"/>
      <w:szCs w:val="18"/>
    </w:rPr>
  </w:style>
  <w:style w:type="paragraph" w:customStyle="1" w:styleId="13">
    <w:name w:val="[Normal]"/>
    <w:qFormat/>
    <w:uiPriority w:val="0"/>
    <w:rPr>
      <w:rFonts w:ascii="宋体" w:hAnsi="宋体" w:eastAsia="宋体" w:cs="Times New Roman"/>
      <w:sz w:val="24"/>
      <w:lang w:val="zh-CN" w:eastAsia="zh-CN" w:bidi="ar-SA"/>
    </w:rPr>
  </w:style>
  <w:style w:type="paragraph" w:customStyle="1" w:styleId="1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xc</Company>
  <Pages>19</Pages>
  <Words>9460</Words>
  <Characters>10215</Characters>
  <Lines>145</Lines>
  <Paragraphs>54</Paragraphs>
  <TotalTime>0</TotalTime>
  <ScaleCrop>false</ScaleCrop>
  <LinksUpToDate>false</LinksUpToDate>
  <CharactersWithSpaces>10242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2020-01-06T08:45:00Z</dcterms:created>
  <dc:creator>dsx</dc:creator>
  <cp:lastModifiedBy>叶水花</cp:lastModifiedBy>
  <dcterms:modified xsi:type="dcterms:W3CDTF">2025-04-08T07:00:13Z</dcterms:modified>
  <dc:title>关于2019年部门预算的批复</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EDOID">
    <vt:r8>5838458</vt:r8>
  </property>
  <property fmtid="{D5CDD505-2E9C-101B-9397-08002B2CF9AE}" pid="4" name="ICV">
    <vt:lpwstr>AE293BE06396464AB610D12C04197BE8_13</vt:lpwstr>
  </property>
  <property fmtid="{D5CDD505-2E9C-101B-9397-08002B2CF9AE}" pid="5" name="KSOTemplateDocerSaveRecord">
    <vt:lpwstr>eyJoZGlkIjoiMDkyMzBhOWU1ZmQyNTE3YzlkZWViNjFmMzM0OWUyNGQifQ==</vt:lpwstr>
  </property>
</Properties>
</file>