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pacing w:val="15"/>
          <w:sz w:val="32"/>
          <w:szCs w:val="32"/>
        </w:rPr>
      </w:pPr>
    </w:p>
    <w:p>
      <w:pPr>
        <w:spacing w:line="560" w:lineRule="exact"/>
        <w:jc w:val="center"/>
        <w:rPr>
          <w:rFonts w:ascii="方正小标宋简体" w:hAnsi="方正小标宋简体" w:eastAsia="方正小标宋简体" w:cs="方正小标宋简体"/>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Style w:val="9"/>
          <w:rFonts w:ascii="方正小标宋简体" w:hAnsi="方正小标宋简体" w:eastAsia="方正小标宋简体" w:cs="方正小标宋简体"/>
          <w:b w:val="0"/>
          <w:spacing w:val="15"/>
          <w:sz w:val="44"/>
          <w:szCs w:val="44"/>
        </w:rPr>
      </w:pPr>
      <w:r>
        <w:rPr>
          <w:rFonts w:ascii="方正小标宋简体" w:hAnsi="方正小标宋简体" w:eastAsia="方正小标宋简体" w:cs="方正小标宋简体"/>
          <w:bCs/>
          <w:spacing w:val="15"/>
          <w:sz w:val="44"/>
          <w:szCs w:val="44"/>
        </w:rPr>
        <w:t>丽水市民政事业发展中心</w:t>
      </w:r>
      <w:r>
        <w:rPr>
          <w:rFonts w:hint="eastAsia" w:ascii="方正小标宋简体" w:hAnsi="方正小标宋简体" w:eastAsia="方正小标宋简体" w:cs="方正小标宋简体"/>
          <w:bCs/>
          <w:spacing w:val="15"/>
          <w:sz w:val="44"/>
          <w:szCs w:val="44"/>
        </w:rPr>
        <w:t>2025年单位预算</w:t>
      </w: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r>
        <w:rPr>
          <w:rStyle w:val="9"/>
          <w:rFonts w:hint="eastAsia" w:ascii="黑体" w:eastAsia="黑体"/>
          <w:b w:val="0"/>
          <w:color w:val="000000"/>
          <w:sz w:val="32"/>
          <w:szCs w:val="32"/>
        </w:rPr>
        <w:t>目录</w:t>
      </w:r>
    </w:p>
    <w:p>
      <w:pPr>
        <w:spacing w:line="520" w:lineRule="exact"/>
        <w:rPr>
          <w:rFonts w:eastAsia="黑体"/>
          <w:sz w:val="32"/>
        </w:rPr>
      </w:pPr>
      <w:r>
        <w:rPr>
          <w:rFonts w:hint="eastAsia" w:ascii="黑体" w:eastAsia="黑体"/>
          <w:color w:val="000000"/>
          <w:sz w:val="32"/>
          <w:highlight w:val="white"/>
        </w:rPr>
        <w:t>一、单位</w:t>
      </w:r>
      <w:r>
        <w:rPr>
          <w:rStyle w:val="9"/>
          <w:rFonts w:hint="eastAsia" w:ascii="黑体" w:eastAsia="黑体"/>
          <w:b w:val="0"/>
          <w:color w:val="000000"/>
          <w:sz w:val="32"/>
          <w:szCs w:val="32"/>
        </w:rPr>
        <w:t>概况</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二、2025年丽水市民政事业发展中心单位预算安排情况说明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（一）关于丽水市民政事业发展中心2025年收支预算情况的总体说明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（二）关于丽水市民政事业发展中心2025年收入预算情况说明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（三）关于丽水市民政事业发展中心2025年支出预算情况说明</w:t>
      </w:r>
      <w:r>
        <w:rPr>
          <w:rFonts w:hint="eastAsia" w:ascii="楷体_GB2312" w:hAnsi="楷体_GB2312" w:eastAsia="楷体_GB2312" w:cs="楷体_GB2312"/>
          <w:bCs/>
          <w:sz w:val="32"/>
          <w:szCs w:val="32"/>
        </w:rPr>
        <w:br w:type="textWrapping"/>
      </w:r>
      <w:r>
        <w:rPr>
          <w:rFonts w:hint="eastAsia" w:ascii="楷体_GB2312" w:hAnsi="楷体_GB2312" w:eastAsia="楷体_GB2312" w:cs="楷体_GB2312"/>
          <w:bCs/>
          <w:sz w:val="32"/>
          <w:szCs w:val="32"/>
        </w:rPr>
        <w:t>（四）关于丽水市民政事业发展中心2025年财政拨款收支预算情况的总体说明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（五）关于丽水市民政事业发展中心2025年一般公共预算拨款情况说明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（六）关于丽水市民政事业发展中心2025年一般公共预算基本支出情况说明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（七）关于丽水市民政事业发展中心2025年政府性基金预算支出情况说明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（八）关于丽水市民政事业发展中心2025年国有资本经营预算支出情况说明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（九）关于丽水市民政事业发展中心2025年一般公共预算“三公”经费预算情况说明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rPr>
          <w:rStyle w:val="9"/>
          <w:rFonts w:ascii="黑体" w:hAnsi="Calibri" w:eastAsia="黑体"/>
          <w:b w:val="0"/>
          <w:color w:val="000000"/>
          <w:kern w:val="2"/>
          <w:sz w:val="32"/>
          <w:szCs w:val="32"/>
        </w:rPr>
      </w:pPr>
      <w:r>
        <w:rPr>
          <w:rStyle w:val="9"/>
          <w:rFonts w:hint="eastAsia" w:ascii="黑体" w:hAnsi="Calibri" w:eastAsia="黑体"/>
          <w:b w:val="0"/>
          <w:color w:val="000000"/>
          <w:kern w:val="2"/>
          <w:sz w:val="32"/>
          <w:szCs w:val="32"/>
        </w:rPr>
        <w:t>三、名词解释</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四、2025年丽水市民政事业发展中心单位预算表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（一）2025年单位收支预算总表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（二）2025年单位收入预算总表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（三）2025年单位支出预算总表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（四）2025年单位财政拨款收支预算总表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（五）2025年单位一般公共预算支出表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（六）2025年单位一般公共预算基本支出表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（七）2025年单位一般公共预算“三公”经费支出表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（八）2025年单位政府性基金预算支出表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（九）2025年单位国有资本经营预算支出表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（十）2025年单位项目支出预算表</w:t>
      </w:r>
    </w:p>
    <w:p>
      <w:pPr>
        <w:autoSpaceDE w:val="0"/>
        <w:autoSpaceDN w:val="0"/>
        <w:adjustRightInd w:val="0"/>
        <w:ind w:left="420" w:leftChars="200"/>
        <w:jc w:val="left"/>
        <w:rPr>
          <w:rStyle w:val="9"/>
          <w:rFonts w:ascii="楷体_GB2312" w:hAnsi="楷体_GB2312" w:eastAsia="楷体_GB2312" w:cs="楷体_GB2312"/>
          <w:b w:val="0"/>
          <w:sz w:val="32"/>
          <w:szCs w:val="32"/>
        </w:rPr>
      </w:pPr>
      <w:r>
        <w:rPr>
          <w:rFonts w:hint="eastAsia" w:ascii="楷体_GB2312" w:hAnsi="楷体_GB2312" w:eastAsia="楷体_GB2312" w:cs="楷体_GB2312"/>
          <w:bCs/>
          <w:sz w:val="32"/>
          <w:szCs w:val="32"/>
        </w:rPr>
        <w:t>（十一）2025年单位项目支出绩效表</w:t>
      </w: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tabs>
          <w:tab w:val="left" w:pos="2608"/>
        </w:tabs>
        <w:rPr>
          <w:rStyle w:val="9"/>
          <w:rFonts w:hint="default" w:ascii="黑体" w:eastAsia="黑体"/>
          <w:b w:val="0"/>
          <w:sz w:val="32"/>
          <w:szCs w:val="32"/>
        </w:rPr>
      </w:pPr>
      <w:r>
        <w:rPr>
          <w:rStyle w:val="9"/>
          <w:rFonts w:ascii="黑体" w:eastAsia="黑体"/>
          <w:b w:val="0"/>
          <w:sz w:val="32"/>
          <w:szCs w:val="32"/>
        </w:rPr>
        <w:tab/>
      </w:r>
    </w:p>
    <w:p>
      <w:pPr>
        <w:spacing w:line="520" w:lineRule="exact"/>
        <w:ind w:firstLine="627" w:firstLineChars="196"/>
        <w:rPr>
          <w:rStyle w:val="9"/>
          <w:rFonts w:ascii="黑体" w:eastAsia="黑体"/>
          <w:b w:val="0"/>
          <w:color w:val="000000"/>
          <w:sz w:val="32"/>
          <w:szCs w:val="32"/>
        </w:rPr>
      </w:pPr>
      <w:r>
        <w:rPr>
          <w:rStyle w:val="9"/>
          <w:rFonts w:hint="eastAsia" w:ascii="黑体" w:eastAsia="黑体"/>
          <w:b w:val="0"/>
          <w:color w:val="000000"/>
          <w:sz w:val="32"/>
          <w:szCs w:val="32"/>
        </w:rPr>
        <w:t>一、单位概况</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widowControl/>
        <w:ind w:firstLine="640" w:firstLineChars="200"/>
        <w:rPr>
          <w:rFonts w:ascii="仿宋_GB2312" w:eastAsia="仿宋_GB2312"/>
          <w:bCs/>
          <w:color w:val="000000"/>
          <w:sz w:val="32"/>
          <w:szCs w:val="32"/>
        </w:rPr>
      </w:pPr>
      <w:r>
        <w:rPr>
          <w:rFonts w:hint="eastAsia" w:ascii="仿宋_GB2312" w:eastAsia="仿宋_GB2312"/>
          <w:bCs/>
          <w:color w:val="000000"/>
          <w:sz w:val="32"/>
          <w:szCs w:val="32"/>
        </w:rPr>
        <w:t>1.主要承担指导全市社会救助家庭经济状况核查工作；</w:t>
      </w:r>
    </w:p>
    <w:p>
      <w:pPr>
        <w:widowControl/>
        <w:ind w:firstLine="640" w:firstLineChars="200"/>
        <w:rPr>
          <w:rFonts w:ascii="仿宋_GB2312" w:eastAsia="仿宋_GB2312"/>
          <w:bCs/>
          <w:color w:val="000000"/>
          <w:sz w:val="32"/>
          <w:szCs w:val="32"/>
        </w:rPr>
      </w:pPr>
      <w:r>
        <w:rPr>
          <w:rFonts w:hint="eastAsia" w:ascii="仿宋_GB2312" w:eastAsia="仿宋_GB2312"/>
          <w:bCs/>
          <w:color w:val="000000"/>
          <w:sz w:val="32"/>
          <w:szCs w:val="32"/>
        </w:rPr>
        <w:t>2.承担婚姻登记、殡葬管理、生态公墓建设、区划地名管理和志愿者队伍建设的辅助工作；</w:t>
      </w:r>
    </w:p>
    <w:p>
      <w:pPr>
        <w:widowControl/>
        <w:ind w:firstLine="640" w:firstLineChars="200"/>
        <w:rPr>
          <w:rFonts w:ascii="仿宋_GB2312" w:eastAsia="仿宋_GB2312"/>
          <w:bCs/>
          <w:color w:val="000000"/>
          <w:sz w:val="32"/>
          <w:szCs w:val="32"/>
        </w:rPr>
      </w:pPr>
      <w:r>
        <w:rPr>
          <w:rFonts w:hint="eastAsia" w:ascii="仿宋_GB2312" w:eastAsia="仿宋_GB2312"/>
          <w:bCs/>
          <w:color w:val="000000"/>
          <w:sz w:val="32"/>
          <w:szCs w:val="32"/>
        </w:rPr>
        <w:t>3.承担民政系统信息化相关工作；</w:t>
      </w:r>
    </w:p>
    <w:p>
      <w:pPr>
        <w:widowControl/>
        <w:ind w:firstLine="640" w:firstLineChars="200"/>
        <w:rPr>
          <w:rFonts w:ascii="仿宋_GB2312" w:eastAsia="仿宋_GB2312"/>
          <w:bCs/>
          <w:color w:val="000000"/>
          <w:sz w:val="32"/>
          <w:szCs w:val="32"/>
        </w:rPr>
      </w:pPr>
      <w:r>
        <w:rPr>
          <w:rFonts w:hint="eastAsia" w:ascii="仿宋_GB2312" w:eastAsia="仿宋_GB2312"/>
          <w:bCs/>
          <w:color w:val="000000"/>
          <w:sz w:val="32"/>
          <w:szCs w:val="32"/>
        </w:rPr>
        <w:t>4.承担机关行政执法相关辅助工作等。</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ind w:firstLine="640" w:firstLineChars="200"/>
        <w:rPr>
          <w:rFonts w:ascii="仿宋_GB2312" w:eastAsia="仿宋_GB2312"/>
          <w:bCs/>
          <w:color w:val="000000"/>
          <w:sz w:val="32"/>
          <w:szCs w:val="32"/>
        </w:rPr>
      </w:pPr>
      <w:r>
        <w:rPr>
          <w:rFonts w:ascii="仿宋_GB2312" w:eastAsia="仿宋_GB2312"/>
          <w:bCs/>
          <w:color w:val="000000"/>
          <w:sz w:val="32"/>
          <w:szCs w:val="32"/>
        </w:rPr>
        <w:fldChar w:fldCharType="begin"/>
      </w:r>
      <w:r>
        <w:rPr>
          <w:rFonts w:hint="eastAsia" w:ascii="仿宋_GB2312" w:eastAsia="仿宋_GB2312"/>
          <w:bCs/>
          <w:color w:val="000000"/>
          <w:sz w:val="32"/>
          <w:szCs w:val="32"/>
        </w:rPr>
        <w:instrText xml:space="preserve">MERGEFIELD ${page855778723.ds388518707_V_RPT_BAS_AGENCY_INFO_NAME}</w:instrText>
      </w:r>
      <w:r>
        <w:rPr>
          <w:rFonts w:ascii="仿宋_GB2312" w:eastAsia="仿宋_GB2312"/>
          <w:bCs/>
          <w:color w:val="000000"/>
          <w:sz w:val="32"/>
          <w:szCs w:val="32"/>
        </w:rPr>
        <w:fldChar w:fldCharType="separate"/>
      </w:r>
      <w:r>
        <w:rPr>
          <w:rFonts w:hint="eastAsia" w:ascii="仿宋_GB2312" w:eastAsia="仿宋_GB2312"/>
          <w:bCs/>
          <w:color w:val="000000"/>
          <w:sz w:val="32"/>
          <w:szCs w:val="32"/>
        </w:rPr>
        <w:t>丽水市民政事业发展中心</w:t>
      </w:r>
      <w:r>
        <w:rPr>
          <w:rFonts w:ascii="仿宋_GB2312" w:eastAsia="仿宋_GB2312"/>
          <w:bCs/>
          <w:color w:val="000000"/>
          <w:sz w:val="32"/>
          <w:szCs w:val="32"/>
        </w:rPr>
        <w:fldChar w:fldCharType="end"/>
      </w:r>
      <w:r>
        <w:rPr>
          <w:rFonts w:hint="eastAsia" w:ascii="仿宋_GB2312" w:eastAsia="仿宋_GB2312"/>
          <w:bCs/>
          <w:color w:val="000000"/>
          <w:sz w:val="32"/>
          <w:szCs w:val="32"/>
        </w:rPr>
        <w:t>党的建设、干部人事等由市民政局统一管理，丽水市民政事业发展中心负责业务运行等事宜，不得承担行政职能，不得从事经营活动。</w:t>
      </w:r>
    </w:p>
    <w:p>
      <w:pPr>
        <w:spacing w:line="520" w:lineRule="exact"/>
        <w:rPr>
          <w:rFonts w:ascii="楷体_GB2312" w:hAnsi="楷体_GB2312" w:eastAsia="楷体_GB2312" w:cs="楷体_GB2312"/>
          <w:color w:val="000000"/>
          <w:sz w:val="32"/>
          <w:szCs w:val="32"/>
        </w:rPr>
      </w:pPr>
      <w:r>
        <w:rPr>
          <w:rStyle w:val="9"/>
          <w:rFonts w:hint="eastAsia" w:ascii="黑体" w:eastAsia="黑体"/>
          <w:b w:val="0"/>
          <w:color w:val="000000"/>
          <w:sz w:val="32"/>
          <w:szCs w:val="32"/>
        </w:rPr>
        <w:t>二、2025年丽水市民政事业发展中心单位预算安排情况说明</w:t>
      </w:r>
      <w:r>
        <w:rPr>
          <w:rFonts w:hint="eastAsia"/>
          <w:color w:val="000000"/>
          <w:sz w:val="32"/>
          <w:szCs w:val="32"/>
        </w:rPr>
        <w:br w:type="textWrapping"/>
      </w:r>
      <w:r>
        <w:rPr>
          <w:rFonts w:hint="eastAsia" w:ascii="仿宋_GB2312" w:eastAsia="仿宋_GB2312"/>
          <w:b/>
          <w:bCs/>
          <w:color w:val="000000"/>
          <w:sz w:val="32"/>
          <w:szCs w:val="32"/>
        </w:rPr>
        <w:t>　　</w:t>
      </w:r>
      <w:r>
        <w:rPr>
          <w:rFonts w:hint="eastAsia" w:ascii="楷体_GB2312" w:hAnsi="楷体_GB2312" w:eastAsia="楷体_GB2312" w:cs="楷体_GB2312"/>
          <w:color w:val="000000"/>
          <w:sz w:val="32"/>
          <w:szCs w:val="32"/>
        </w:rPr>
        <w:t>（一）关于丽水市民政事业发展中心</w:t>
      </w:r>
      <w:r>
        <w:rPr>
          <w:rStyle w:val="9"/>
          <w:rFonts w:hint="eastAsia" w:ascii="楷体_GB2312" w:hAnsi="楷体_GB2312" w:eastAsia="楷体_GB2312" w:cs="楷体_GB2312"/>
          <w:b w:val="0"/>
          <w:bCs w:val="0"/>
          <w:color w:val="000000"/>
          <w:sz w:val="32"/>
          <w:szCs w:val="32"/>
        </w:rPr>
        <w:t>2025年收支预算情况的总体说明</w:t>
      </w:r>
    </w:p>
    <w:p>
      <w:pPr>
        <w:spacing w:line="520" w:lineRule="exact"/>
        <w:rPr>
          <w:rFonts w:ascii="楷体_GB2312" w:hAnsi="楷体_GB2312" w:eastAsia="楷体_GB2312" w:cs="楷体_GB2312"/>
          <w:b/>
          <w:color w:val="000000"/>
          <w:sz w:val="32"/>
          <w:szCs w:val="32"/>
        </w:rPr>
      </w:pPr>
      <w:r>
        <w:rPr>
          <w:rFonts w:hint="eastAsia" w:ascii="仿宋_GB2312" w:eastAsia="仿宋_GB2312"/>
          <w:bCs/>
          <w:color w:val="000000"/>
          <w:sz w:val="32"/>
          <w:szCs w:val="32"/>
        </w:rPr>
        <w:t xml:space="preserve">    按照</w:t>
      </w:r>
      <w:r>
        <w:rPr>
          <w:rFonts w:hint="eastAsia" w:ascii="仿宋_GB2312" w:eastAsia="仿宋_GB2312"/>
          <w:bCs/>
          <w:sz w:val="32"/>
          <w:szCs w:val="32"/>
        </w:rPr>
        <w:t>综合预算的原则，丽水市民政事业发展中心</w:t>
      </w:r>
      <w:r>
        <w:rPr>
          <w:rFonts w:hint="eastAsia" w:ascii="仿宋_GB2312" w:eastAsia="仿宋_GB2312"/>
          <w:color w:val="000000"/>
          <w:sz w:val="32"/>
          <w:szCs w:val="32"/>
        </w:rPr>
        <w:t>所有收入和支出均纳入部门预算管理。收入包括：一般公共预算拨款收入；支出包括：社会保障和就业支出。丽水市民政事业发展中心2025年收支总预算14.70万元。</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（二）关于丽水市民政事业发展中心2025年收入预算情况说明</w:t>
      </w:r>
    </w:p>
    <w:p>
      <w:pPr>
        <w:spacing w:line="520" w:lineRule="exact"/>
        <w:ind w:firstLine="642"/>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丽水市民政事业发展中心2025年收入预算14.70万元，比上年执行数减少0.64万元，下</w:t>
      </w:r>
      <w:r>
        <w:rPr>
          <w:rFonts w:hint="eastAsia" w:ascii="仿宋_GB2312" w:hAnsi="仿宋_GB2312" w:eastAsia="仿宋_GB2312" w:cs="仿宋_GB2312"/>
          <w:color w:val="000000"/>
          <w:sz w:val="32"/>
        </w:rPr>
        <w:t>降4.1%，</w:t>
      </w:r>
      <w:r>
        <w:rPr>
          <w:rFonts w:hint="eastAsia" w:ascii="仿宋_GB2312" w:hAnsi="仿宋_GB2312" w:eastAsia="仿宋_GB2312" w:cs="仿宋_GB2312"/>
          <w:color w:val="000000"/>
          <w:sz w:val="32"/>
          <w:szCs w:val="32"/>
        </w:rPr>
        <w:t>主要是厉行节约，减少支出。</w:t>
      </w:r>
    </w:p>
    <w:p>
      <w:pPr>
        <w:spacing w:line="520" w:lineRule="exact"/>
        <w:ind w:firstLine="642"/>
        <w:rPr>
          <w:rFonts w:ascii="仿宋_GB2312" w:eastAsia="仿宋_GB2312"/>
          <w:color w:val="000000"/>
          <w:sz w:val="32"/>
          <w:szCs w:val="32"/>
          <w:highlight w:val="yellow"/>
        </w:rPr>
      </w:pPr>
    </w:p>
    <w:p>
      <w:pPr>
        <w:spacing w:line="520" w:lineRule="exact"/>
        <w:ind w:firstLine="642"/>
        <w:rPr>
          <w:rFonts w:ascii="仿宋_GB2312" w:hAnsi="仿宋_GB2312" w:eastAsia="仿宋_GB2312" w:cs="仿宋_GB2312"/>
          <w:color w:val="000000"/>
          <w:sz w:val="32"/>
          <w:szCs w:val="32"/>
        </w:rPr>
      </w:pPr>
      <w:r>
        <w:rPr>
          <w:rFonts w:hint="eastAsia" w:ascii="仿宋_GB2312" w:eastAsia="仿宋_GB2312"/>
          <w:color w:val="000000"/>
          <w:sz w:val="32"/>
          <w:szCs w:val="32"/>
        </w:rPr>
        <w:t>其中：一般公共预算拨款收入</w:t>
      </w:r>
      <w:r>
        <w:rPr>
          <w:rFonts w:ascii="仿宋_GB2312" w:eastAsia="仿宋_GB2312"/>
          <w:color w:val="000000"/>
          <w:sz w:val="32"/>
          <w:szCs w:val="32"/>
        </w:rPr>
        <w:t>14.70</w:t>
      </w:r>
      <w:r>
        <w:rPr>
          <w:rFonts w:hint="eastAsia" w:ascii="仿宋_GB2312" w:eastAsia="仿宋_GB2312"/>
          <w:color w:val="000000"/>
          <w:sz w:val="32"/>
          <w:szCs w:val="32"/>
        </w:rPr>
        <w:t>万元（上年结转0.00万元），占100.0%。</w:t>
      </w:r>
      <w:r>
        <w:rPr>
          <w:rFonts w:hint="eastAsia" w:ascii="仿宋_GB2312" w:eastAsia="仿宋_GB2312"/>
          <w:color w:val="000000"/>
          <w:sz w:val="32"/>
          <w:szCs w:val="32"/>
        </w:rPr>
        <w:br w:type="textWrapping"/>
      </w:r>
      <w:r>
        <w:rPr>
          <w:rFonts w:hint="eastAsia" w:ascii="楷体_GB2312" w:hAnsi="楷体_GB2312" w:eastAsia="楷体_GB2312" w:cs="楷体_GB2312"/>
          <w:bCs/>
          <w:color w:val="000000"/>
          <w:sz w:val="32"/>
          <w:szCs w:val="32"/>
        </w:rPr>
        <w:t>　　（三）关于丽水市民政事业发展中心2025年支出预算情况说明</w:t>
      </w:r>
      <w:r>
        <w:rPr>
          <w:rFonts w:hint="eastAsia" w:ascii="楷体_GB2312" w:hAnsi="楷体_GB2312" w:eastAsia="楷体_GB2312" w:cs="楷体_GB2312"/>
          <w:bCs/>
          <w:color w:val="000000"/>
          <w:sz w:val="32"/>
          <w:szCs w:val="32"/>
        </w:rPr>
        <w:br w:type="textWrapping"/>
      </w:r>
      <w:r>
        <w:rPr>
          <w:rFonts w:hint="eastAsia" w:ascii="仿宋_GB2312" w:eastAsia="仿宋_GB2312"/>
          <w:color w:val="000000"/>
          <w:sz w:val="32"/>
          <w:szCs w:val="32"/>
        </w:rPr>
        <w:t>　</w:t>
      </w:r>
      <w:r>
        <w:rPr>
          <w:rFonts w:hint="eastAsia" w:ascii="仿宋_GB2312" w:hAnsi="仿宋_GB2312" w:eastAsia="仿宋_GB2312" w:cs="仿宋_GB2312"/>
          <w:color w:val="000000"/>
          <w:sz w:val="32"/>
          <w:szCs w:val="32"/>
        </w:rPr>
        <w:t>　丽水市民政事业发展中心2025年支出预算14.70万元，比上年执行数减少0.64万元，</w:t>
      </w:r>
      <w:r>
        <w:rPr>
          <w:rFonts w:hint="eastAsia" w:ascii="仿宋_GB2312" w:hAnsi="仿宋_GB2312" w:eastAsia="仿宋_GB2312" w:cs="仿宋_GB2312"/>
          <w:color w:val="000000"/>
          <w:sz w:val="32"/>
        </w:rPr>
        <w:t>下降4.1%，</w:t>
      </w:r>
      <w:r>
        <w:rPr>
          <w:rFonts w:hint="eastAsia" w:ascii="仿宋_GB2312" w:hAnsi="仿宋_GB2312" w:eastAsia="仿宋_GB2312" w:cs="仿宋_GB2312"/>
          <w:color w:val="000000"/>
          <w:sz w:val="32"/>
          <w:szCs w:val="32"/>
        </w:rPr>
        <w:t>主要是厉行节约，减少支出。</w:t>
      </w:r>
    </w:p>
    <w:p>
      <w:pPr>
        <w:spacing w:line="520" w:lineRule="exact"/>
        <w:ind w:firstLine="630"/>
        <w:rPr>
          <w:rFonts w:ascii="仿宋_GB2312" w:eastAsia="仿宋_GB2312"/>
          <w:color w:val="000000"/>
          <w:sz w:val="32"/>
          <w:szCs w:val="32"/>
        </w:rPr>
      </w:pPr>
      <w:r>
        <w:rPr>
          <w:rFonts w:hint="eastAsia" w:ascii="仿宋_GB2312" w:eastAsia="仿宋_GB2312"/>
          <w:color w:val="000000"/>
          <w:sz w:val="32"/>
          <w:szCs w:val="32"/>
        </w:rPr>
        <w:t>1.按支出功能分类，包括社会保障和就业支出14.70万元。</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2.按支出用途分类，包括人员支出5.60万元，占38.1%；日常公用支出9.10万元，占61.9%。</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年终结转结余0.00万元。</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（四）关于丽水市民政事业发展中心2025年财政拨款收支预算情况的总体说明</w:t>
      </w:r>
    </w:p>
    <w:p>
      <w:pPr>
        <w:spacing w:line="520" w:lineRule="exact"/>
        <w:ind w:firstLine="640"/>
        <w:rPr>
          <w:rFonts w:ascii="仿宋_GB2312" w:eastAsia="仿宋_GB2312"/>
          <w:color w:val="000000"/>
          <w:sz w:val="32"/>
          <w:szCs w:val="32"/>
        </w:rPr>
      </w:pPr>
      <w:r>
        <w:rPr>
          <w:rFonts w:hint="eastAsia" w:ascii="仿宋_GB2312" w:eastAsia="仿宋_GB2312"/>
          <w:color w:val="000000"/>
          <w:sz w:val="32"/>
          <w:szCs w:val="32"/>
        </w:rPr>
        <w:t>丽水市民政事业发展中心2025年财政拨款收支总预算14.70万元。收入包括：一般公共预算14.70万元；支出包括：社会保障和就业支出14.70万元。</w:t>
      </w:r>
    </w:p>
    <w:p>
      <w:pPr>
        <w:numPr>
          <w:ilvl w:val="0"/>
          <w:numId w:val="1"/>
        </w:numPr>
        <w:spacing w:line="520" w:lineRule="exact"/>
        <w:ind w:firstLine="640"/>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关于丽水市民政事业发展中心2025年一般公共预算拨款情况说明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1.一般公共预算拨款规模变化情况。</w:t>
      </w:r>
    </w:p>
    <w:p>
      <w:pPr>
        <w:spacing w:line="520" w:lineRule="exact"/>
        <w:ind w:firstLine="642"/>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丽水市民政事业发展中心2025年一般公共预算拨款</w:t>
      </w:r>
      <w:r>
        <w:rPr>
          <w:rFonts w:hint="eastAsia" w:ascii="仿宋_GB2312" w:hAnsi="仿宋_GB2312" w:eastAsia="仿宋_GB2312" w:cs="仿宋_GB2312"/>
          <w:bCs/>
          <w:color w:val="000000"/>
          <w:sz w:val="32"/>
          <w:szCs w:val="32"/>
        </w:rPr>
        <w:t>14.70</w:t>
      </w:r>
      <w:r>
        <w:rPr>
          <w:rFonts w:hint="eastAsia" w:ascii="仿宋_GB2312" w:hAnsi="仿宋_GB2312" w:eastAsia="仿宋_GB2312" w:cs="仿宋_GB2312"/>
          <w:color w:val="000000"/>
          <w:sz w:val="32"/>
          <w:szCs w:val="32"/>
        </w:rPr>
        <w:t>万元，比上年执行数减少0.64，下</w:t>
      </w:r>
      <w:r>
        <w:rPr>
          <w:rFonts w:hint="eastAsia" w:ascii="仿宋_GB2312" w:hAnsi="仿宋_GB2312" w:eastAsia="仿宋_GB2312" w:cs="仿宋_GB2312"/>
          <w:color w:val="000000"/>
          <w:sz w:val="32"/>
        </w:rPr>
        <w:t>降4.1%，</w:t>
      </w:r>
      <w:r>
        <w:rPr>
          <w:rFonts w:hint="eastAsia" w:ascii="仿宋_GB2312" w:hAnsi="仿宋_GB2312" w:eastAsia="仿宋_GB2312" w:cs="仿宋_GB2312"/>
          <w:color w:val="000000"/>
          <w:sz w:val="32"/>
          <w:szCs w:val="32"/>
        </w:rPr>
        <w:t>主要是厉行节约，减少支出。</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2.一般公共预算拨款结构情况。</w:t>
      </w:r>
    </w:p>
    <w:p>
      <w:pPr>
        <w:spacing w:line="520" w:lineRule="exact"/>
        <w:ind w:firstLine="640" w:firstLineChars="200"/>
        <w:rPr>
          <w:rFonts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社会保障和就业支出14.70万元，占100.0%。</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3.一般公共预算拨款具体使用情况。</w:t>
      </w:r>
    </w:p>
    <w:p>
      <w:pPr>
        <w:spacing w:line="560" w:lineRule="exact"/>
        <w:ind w:firstLine="64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ascii="仿宋_GB2312" w:eastAsia="仿宋_GB2312"/>
          <w:color w:val="000000"/>
          <w:sz w:val="32"/>
          <w:szCs w:val="32"/>
        </w:rPr>
        <w:t>社会保障和就业</w:t>
      </w:r>
      <w:r>
        <w:rPr>
          <w:rFonts w:hint="eastAsia" w:ascii="仿宋_GB2312" w:eastAsia="仿宋_GB2312"/>
          <w:color w:val="000000"/>
          <w:sz w:val="32"/>
          <w:szCs w:val="32"/>
        </w:rPr>
        <w:t>（类）社会福利（款）殡葬</w:t>
      </w:r>
      <w:r>
        <w:rPr>
          <w:rFonts w:hint="eastAsia" w:ascii="仿宋_GB2312" w:hAnsi="仿宋_GB2312" w:eastAsia="仿宋_GB2312" w:cs="仿宋_GB2312"/>
          <w:color w:val="000000"/>
          <w:sz w:val="32"/>
          <w:szCs w:val="32"/>
        </w:rPr>
        <w:t>（项）14.7万元，主要用于</w:t>
      </w:r>
      <w:r>
        <w:rPr>
          <w:rFonts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MERGEFIELD ${page855778723.ds388518707_V_RPT_BAS_AGENCY_INFO_NAME}</w:instrText>
      </w:r>
      <w:r>
        <w:rPr>
          <w:rFonts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丽水市民政事业发展中心</w:t>
      </w:r>
      <w:r>
        <w:rPr>
          <w:rFonts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日常支出和编外用工工资</w:t>
      </w:r>
      <w:r>
        <w:rPr>
          <w:rFonts w:ascii="仿宋_GB2312" w:hAnsi="仿宋_GB2312" w:eastAsia="仿宋_GB2312" w:cs="仿宋_GB2312"/>
          <w:color w:val="000000"/>
          <w:sz w:val="32"/>
          <w:szCs w:val="32"/>
        </w:rPr>
        <w:t>。</w:t>
      </w:r>
    </w:p>
    <w:p>
      <w:pPr>
        <w:spacing w:line="520" w:lineRule="exact"/>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    （六）关于丽水市民政事业发展中心2025年一般公共预算基本支出情况说明</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丽水市民政事业发展中心2025年一般公共预算基本支出14.70万元，其中：</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人员支出5.60万元，主要包括：其他工资福利支出；</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日常公用支出9.10万元，主要包括：办公费、物业管理费、差旅费、会议费、公务接待费、工会经费、福利费、公务用车运行维护费、其他交通费用、其他商品和服务支出。</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（七）关于丽水市民政事业发展中心2025年政府性基金预算支出情况说明</w:t>
      </w:r>
    </w:p>
    <w:p>
      <w:pPr>
        <w:ind w:firstLine="640" w:firstLineChars="200"/>
      </w:pPr>
      <w:r>
        <w:rPr>
          <w:rFonts w:hint="eastAsia" w:ascii="仿宋_GB2312" w:hAnsi="仿宋_GB2312" w:eastAsia="仿宋_GB2312" w:cs="仿宋_GB2312"/>
          <w:color w:val="000000"/>
          <w:sz w:val="32"/>
          <w:szCs w:val="32"/>
        </w:rPr>
        <w:t>丽水市民政事业发展中心2025年没有使用政府性基金预算拨款安排的支出，与上年预算持平</w:t>
      </w:r>
      <w:r>
        <w:rPr>
          <w:rFonts w:hint="eastAsia" w:ascii="仿宋_GB2312" w:eastAsia="仿宋_GB2312"/>
          <w:color w:val="000000"/>
          <w:sz w:val="32"/>
          <w:szCs w:val="32"/>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（八）关于</w:t>
      </w:r>
      <w:r>
        <w:rPr>
          <w:rFonts w:ascii="楷体_GB2312" w:hAnsi="楷体_GB2312" w:eastAsia="楷体_GB2312" w:cs="楷体_GB2312"/>
          <w:bCs/>
          <w:color w:val="000000"/>
          <w:sz w:val="32"/>
          <w:szCs w:val="32"/>
        </w:rPr>
        <w:t>丽水市民政事业发展中心</w:t>
      </w:r>
      <w:r>
        <w:rPr>
          <w:rFonts w:hint="eastAsia" w:ascii="楷体_GB2312" w:hAnsi="楷体_GB2312" w:eastAsia="楷体_GB2312" w:cs="楷体_GB2312"/>
          <w:bCs/>
          <w:color w:val="000000"/>
          <w:sz w:val="32"/>
          <w:szCs w:val="32"/>
        </w:rPr>
        <w:t>2025年国有资本经营预算支出情况说明</w:t>
      </w:r>
    </w:p>
    <w:p>
      <w:pPr>
        <w:ind w:firstLine="640" w:firstLineChars="200"/>
        <w:rPr>
          <w:rFonts w:ascii="仿宋_GB2312" w:hAnsi="仿宋_GB2312" w:eastAsia="仿宋_GB2312" w:cs="仿宋_GB2312"/>
          <w:color w:val="000000"/>
          <w:sz w:val="32"/>
        </w:rPr>
      </w:pPr>
      <w:r>
        <w:rPr>
          <w:rFonts w:hint="eastAsia" w:ascii="仿宋_GB2312" w:hAnsi="仿宋_GB2312" w:eastAsia="仿宋_GB2312" w:cs="仿宋_GB2312"/>
          <w:color w:val="000000"/>
          <w:sz w:val="32"/>
          <w:szCs w:val="32"/>
        </w:rPr>
        <w:t>丽水市民政事业发展中心2025年没有使用国有资本经营预算拨款安排的支出，与上年持平。</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（九）关于丽水市民政事业发展中心2025年</w:t>
      </w:r>
      <w:r>
        <w:rPr>
          <w:rFonts w:hint="eastAsia" w:ascii="楷体_GB2312" w:hAnsi="楷体_GB2312" w:eastAsia="楷体_GB2312" w:cs="楷体_GB2312"/>
          <w:bCs/>
          <w:sz w:val="32"/>
          <w:szCs w:val="32"/>
        </w:rPr>
        <w:t>一般公共预算</w:t>
      </w:r>
      <w:r>
        <w:rPr>
          <w:rFonts w:hint="eastAsia" w:ascii="楷体_GB2312" w:hAnsi="楷体_GB2312" w:eastAsia="楷体_GB2312" w:cs="楷体_GB2312"/>
          <w:bCs/>
          <w:color w:val="000000"/>
          <w:sz w:val="32"/>
          <w:szCs w:val="32"/>
        </w:rPr>
        <w:t>“三公”经费预算情况说明</w:t>
      </w:r>
    </w:p>
    <w:p>
      <w:pPr>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丽水市民政事业发展中心2025年“三公”经费预算数为3.14万元，</w:t>
      </w:r>
      <w:r>
        <w:rPr>
          <w:rFonts w:hint="eastAsia" w:ascii="仿宋_GB2312" w:hAnsi="仿宋_GB2312" w:eastAsia="仿宋_GB2312"/>
          <w:sz w:val="32"/>
          <w:shd w:val="clear" w:color="auto" w:fill="FFFFFF"/>
        </w:rPr>
        <w:t>比上年预算数增加</w:t>
      </w:r>
      <w:r>
        <w:rPr>
          <w:rFonts w:hint="eastAsia" w:ascii="仿宋_GB2312" w:hAnsi="仿宋_GB2312" w:eastAsia="仿宋_GB2312"/>
          <w:sz w:val="32"/>
        </w:rPr>
        <w:t>0.03</w:t>
      </w:r>
      <w:r>
        <w:rPr>
          <w:rFonts w:hint="eastAsia" w:ascii="仿宋_GB2312" w:hAnsi="仿宋_GB2312" w:eastAsia="仿宋_GB2312"/>
          <w:sz w:val="32"/>
          <w:shd w:val="clear" w:color="auto" w:fill="FFFFFF"/>
        </w:rPr>
        <w:t>万元，增长0.9%</w:t>
      </w:r>
      <w:r>
        <w:rPr>
          <w:rFonts w:hint="eastAsia" w:ascii="仿宋_GB2312" w:hAnsi="仿宋_GB2312" w:eastAsia="仿宋_GB2312"/>
          <w:sz w:val="32"/>
        </w:rPr>
        <w:t>，具体如下：</w:t>
      </w:r>
    </w:p>
    <w:p>
      <w:pPr>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1.因公出国（境）费用：</w:t>
      </w:r>
      <w:r>
        <w:rPr>
          <w:rFonts w:hint="eastAsia" w:ascii="仿宋_GB2312" w:hAnsi="仿宋_GB2312" w:eastAsia="仿宋_GB2312" w:cs="仿宋_GB2312"/>
          <w:sz w:val="32"/>
          <w:szCs w:val="32"/>
        </w:rPr>
        <w:t>根据因公出国计划和实际工作需要，2025年安排因公出国（境）费用预算0.00万元，</w:t>
      </w:r>
      <w:r>
        <w:rPr>
          <w:rFonts w:hint="eastAsia" w:ascii="仿宋_GB2312" w:eastAsia="仿宋_GB2312"/>
          <w:sz w:val="32"/>
          <w:szCs w:val="32"/>
        </w:rPr>
        <w:t>与上年预算数持平</w:t>
      </w:r>
      <w:r>
        <w:rPr>
          <w:rFonts w:hint="eastAsia" w:ascii="仿宋_GB2312" w:hAnsi="仿宋_GB2312" w:eastAsia="仿宋_GB2312" w:cs="仿宋_GB2312"/>
          <w:sz w:val="32"/>
          <w:szCs w:val="32"/>
        </w:rPr>
        <w:t>。</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2.公务接待费：2025年安排公务接待费预算0.33万元，比上年预算数</w:t>
      </w:r>
      <w:r>
        <w:rPr>
          <w:rFonts w:hint="eastAsia" w:ascii="仿宋_GB2312" w:hAnsi="仿宋_GB2312" w:eastAsia="仿宋_GB2312"/>
          <w:sz w:val="32"/>
          <w:shd w:val="clear" w:color="auto" w:fill="FFFFFF"/>
        </w:rPr>
        <w:t>增加</w:t>
      </w:r>
      <w:r>
        <w:rPr>
          <w:rFonts w:hint="eastAsia" w:ascii="仿宋_GB2312" w:hAnsi="仿宋_GB2312" w:eastAsia="仿宋_GB2312"/>
          <w:sz w:val="32"/>
        </w:rPr>
        <w:t>0.03</w:t>
      </w:r>
      <w:r>
        <w:rPr>
          <w:rFonts w:hint="eastAsia" w:ascii="仿宋_GB2312" w:hAnsi="仿宋_GB2312" w:eastAsia="仿宋_GB2312"/>
          <w:sz w:val="32"/>
          <w:shd w:val="clear" w:color="auto" w:fill="FFFFFF"/>
        </w:rPr>
        <w:t>万元，</w:t>
      </w:r>
      <w:r>
        <w:rPr>
          <w:rFonts w:hint="eastAsia" w:ascii="仿宋_GB2312" w:hAnsi="仿宋_GB2312" w:eastAsia="仿宋_GB2312" w:cs="仿宋_GB2312"/>
          <w:sz w:val="32"/>
          <w:szCs w:val="32"/>
        </w:rPr>
        <w:t>增长</w:t>
      </w:r>
      <w:r>
        <w:rPr>
          <w:rFonts w:hint="eastAsia" w:ascii="仿宋_GB2312" w:eastAsia="仿宋_GB2312"/>
          <w:color w:val="000000"/>
          <w:sz w:val="32"/>
          <w:szCs w:val="32"/>
        </w:rPr>
        <w:t>10</w:t>
      </w:r>
      <w:r>
        <w:rPr>
          <w:rFonts w:hint="eastAsia" w:ascii="仿宋_GB2312" w:hAnsi="仿宋_GB2312" w:eastAsia="仿宋_GB2312" w:cs="仿宋_GB2312"/>
          <w:sz w:val="32"/>
          <w:szCs w:val="32"/>
        </w:rPr>
        <w:t>%。主要用于丽水市民政事业发展中心各项公务活动接待等支出。增加的主要原因是保障工作开展的需要。</w:t>
      </w:r>
    </w:p>
    <w:p>
      <w:pPr>
        <w:pStyle w:val="14"/>
        <w:spacing w:line="520" w:lineRule="exact"/>
        <w:ind w:firstLine="640" w:firstLineChars="200"/>
        <w:rPr>
          <w:rFonts w:ascii="仿宋_GB2312" w:eastAsia="仿宋_GB2312"/>
          <w:b/>
          <w:bCs/>
          <w:sz w:val="32"/>
          <w:szCs w:val="32"/>
        </w:rPr>
      </w:pPr>
      <w:r>
        <w:rPr>
          <w:rFonts w:hint="eastAsia" w:ascii="仿宋_GB2312" w:eastAsia="仿宋_GB2312"/>
          <w:sz w:val="32"/>
          <w:szCs w:val="32"/>
        </w:rPr>
        <w:t>3.公务用车购置及运行维护费：2025年安排公务用车购置及运行维护费预算2.81万元，与上年预算数持平。其中，公务用车运行维护费支出2.81万元，主要用于公务用车燃料费、新能源汽车充电费、维修费、过桥过路费、保险费、安全奖励费用等支出。</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ind w:firstLine="643" w:firstLineChars="200"/>
        <w:rPr>
          <w:rFonts w:ascii="仿宋_GB2312" w:eastAsia="仿宋_GB2312"/>
          <w:b/>
          <w:bCs/>
          <w:sz w:val="32"/>
          <w:szCs w:val="32"/>
        </w:rPr>
      </w:pPr>
      <w:r>
        <w:rPr>
          <w:rFonts w:hint="eastAsia" w:ascii="仿宋_GB2312" w:hAnsi="仿宋_GB2312" w:eastAsia="仿宋_GB2312" w:cs="仿宋_GB2312"/>
          <w:b/>
          <w:color w:val="000000"/>
          <w:sz w:val="32"/>
          <w:szCs w:val="32"/>
        </w:rPr>
        <w:t>1.</w:t>
      </w:r>
      <w:r>
        <w:rPr>
          <w:rFonts w:hint="eastAsia" w:ascii="仿宋_GB2312" w:eastAsia="仿宋_GB2312"/>
          <w:b/>
          <w:bCs/>
          <w:sz w:val="32"/>
          <w:szCs w:val="32"/>
        </w:rPr>
        <w:t>政府采购情况。</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rPr>
        <w:t>2025年丽水市民政事业发展中心</w:t>
      </w:r>
      <w:r>
        <w:rPr>
          <w:rFonts w:hint="eastAsia" w:ascii="仿宋_GB2312" w:eastAsia="仿宋_GB2312"/>
          <w:color w:val="000000"/>
          <w:sz w:val="32"/>
          <w:szCs w:val="32"/>
        </w:rPr>
        <w:t>各单位政府采购预算总额</w:t>
      </w:r>
      <w:r>
        <w:rPr>
          <w:rFonts w:ascii="仿宋_GB2312" w:eastAsia="仿宋_GB2312"/>
          <w:color w:val="000000"/>
          <w:sz w:val="32"/>
          <w:szCs w:val="32"/>
        </w:rPr>
        <w:t>1.42</w:t>
      </w:r>
      <w:r>
        <w:rPr>
          <w:rFonts w:hint="eastAsia" w:ascii="仿宋_GB2312" w:eastAsia="仿宋_GB2312"/>
          <w:color w:val="000000"/>
          <w:sz w:val="32"/>
          <w:szCs w:val="32"/>
        </w:rPr>
        <w:t>万元，其中：政府采购货物预算0.22万元、政府采购工程预算0.00万元、政府采购服务预算</w:t>
      </w:r>
      <w:r>
        <w:rPr>
          <w:rFonts w:ascii="仿宋_GB2312" w:eastAsia="仿宋_GB2312"/>
          <w:color w:val="000000"/>
          <w:sz w:val="32"/>
          <w:szCs w:val="32"/>
        </w:rPr>
        <w:t>1.20</w:t>
      </w:r>
      <w:r>
        <w:rPr>
          <w:rFonts w:hint="eastAsia" w:ascii="仿宋_GB2312" w:eastAsia="仿宋_GB2312"/>
          <w:color w:val="000000"/>
          <w:sz w:val="32"/>
          <w:szCs w:val="32"/>
        </w:rPr>
        <w:t>万元。</w:t>
      </w:r>
    </w:p>
    <w:p>
      <w:pPr>
        <w:pStyle w:val="14"/>
        <w:spacing w:line="520" w:lineRule="exact"/>
        <w:ind w:firstLine="642"/>
        <w:rPr>
          <w:rFonts w:ascii="仿宋_GB2312" w:eastAsia="仿宋_GB2312"/>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.国有资产占有使用情况。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pacing w:val="6"/>
          <w:sz w:val="32"/>
          <w:szCs w:val="32"/>
        </w:rPr>
        <w:t>截至2024年12月31日，所属各预算单位共有车辆</w:t>
      </w:r>
      <w:r>
        <w:rPr>
          <w:rFonts w:hint="eastAsia" w:ascii="仿宋_GB2312" w:hAnsi="仿宋_GB2312" w:eastAsia="仿宋_GB2312" w:cs="仿宋_GB2312"/>
          <w:sz w:val="32"/>
          <w:szCs w:val="32"/>
        </w:rPr>
        <w:t>1辆，其中，</w:t>
      </w:r>
      <w:r>
        <w:rPr>
          <w:rFonts w:hint="eastAsia" w:ascii="仿宋_GB2312" w:hAnsi="仿宋_GB2312" w:eastAsia="仿宋_GB2312" w:cs="仿宋_GB2312"/>
          <w:color w:val="000000" w:themeColor="text1"/>
          <w:sz w:val="32"/>
          <w:szCs w:val="32"/>
        </w:rPr>
        <w:t>行政执法专用车1辆。</w:t>
      </w:r>
      <w:r>
        <w:rPr>
          <w:rFonts w:hint="eastAsia" w:ascii="仿宋_GB2312" w:hAnsi="仿宋_GB2312" w:eastAsia="仿宋_GB2312" w:cs="仿宋_GB2312"/>
          <w:sz w:val="32"/>
          <w:szCs w:val="32"/>
        </w:rPr>
        <w:t xml:space="preserve">单位价值100万元以上设备0台（套）。 </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2025年</w:t>
      </w:r>
      <w:r>
        <w:rPr>
          <w:rFonts w:ascii="仿宋_GB2312" w:hAnsi="仿宋_GB2312" w:eastAsia="仿宋_GB2312" w:cs="仿宋_GB2312"/>
          <w:sz w:val="32"/>
          <w:szCs w:val="32"/>
        </w:rPr>
        <w:t>部门预算未安排购置车辆、单位价值100万元以上设备</w:t>
      </w:r>
      <w:r>
        <w:rPr>
          <w:rFonts w:hint="eastAsia" w:ascii="仿宋_GB2312" w:hAnsi="仿宋_GB2312" w:eastAsia="仿宋_GB2312" w:cs="仿宋_GB2312"/>
          <w:sz w:val="32"/>
          <w:szCs w:val="32"/>
        </w:rPr>
        <w:t>。</w:t>
      </w:r>
    </w:p>
    <w:p>
      <w:pPr>
        <w:pStyle w:val="14"/>
        <w:spacing w:line="520" w:lineRule="exact"/>
        <w:rPr>
          <w:rFonts w:ascii="仿宋_GB2312" w:eastAsia="仿宋_GB2312"/>
          <w:b/>
          <w:bCs/>
          <w:sz w:val="32"/>
          <w:szCs w:val="32"/>
        </w:rPr>
      </w:pPr>
      <w:r>
        <w:rPr>
          <w:rFonts w:hint="eastAsia" w:ascii="仿宋_GB2312" w:eastAsia="仿宋_GB2312"/>
          <w:b/>
          <w:bCs/>
          <w:sz w:val="32"/>
          <w:szCs w:val="32"/>
        </w:rPr>
        <w:t xml:space="preserve">    </w:t>
      </w:r>
      <w:r>
        <w:rPr>
          <w:rFonts w:hint="eastAsia" w:ascii="仿宋_GB2312" w:eastAsia="仿宋_GB2312"/>
          <w:b/>
          <w:bCs/>
          <w:sz w:val="32"/>
          <w:szCs w:val="32"/>
          <w:lang w:val="en-US" w:eastAsia="zh-CN"/>
        </w:rPr>
        <w:t>3</w:t>
      </w:r>
      <w:r>
        <w:rPr>
          <w:rFonts w:hint="eastAsia" w:ascii="仿宋_GB2312" w:eastAsia="仿宋_GB2312"/>
          <w:b/>
          <w:bCs/>
          <w:sz w:val="32"/>
          <w:szCs w:val="32"/>
        </w:rPr>
        <w:t>.预算绩效情况说明。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2025年</w:t>
      </w:r>
      <w:r>
        <w:rPr>
          <w:rFonts w:ascii="仿宋_GB2312" w:hAnsi="仿宋_GB2312" w:eastAsia="仿宋_GB2312" w:cs="仿宋_GB2312"/>
          <w:sz w:val="32"/>
          <w:szCs w:val="32"/>
        </w:rPr>
        <w:t>丽水市民政事业发展中心其他运转类项目和特定目标类项目均实行绩效目标管理，共计0个一级项目，涉及当年资金0.00万元。</w:t>
      </w:r>
      <w:r>
        <w:rPr>
          <w:rFonts w:hint="eastAsia" w:ascii="仿宋_GB2312" w:hAnsi="仿宋_GB2312" w:eastAsia="仿宋_GB2312" w:cs="仿宋_GB2312"/>
          <w:sz w:val="32"/>
          <w:szCs w:val="32"/>
          <w:lang w:val="en-US" w:eastAsia="zh-CN"/>
        </w:rPr>
        <w:t>主要原因是本年度没有项目支出。</w:t>
      </w:r>
      <w:bookmarkStart w:id="0" w:name="_GoBack"/>
      <w:bookmarkEnd w:id="0"/>
      <w:r>
        <w:rPr>
          <w:rFonts w:ascii="仿宋_GB2312" w:hAnsi="仿宋_GB2312" w:eastAsia="仿宋_GB2312" w:cs="仿宋_GB2312"/>
          <w:sz w:val="32"/>
          <w:szCs w:val="32"/>
        </w:rPr>
        <w:t>同时，将按照相关制度规定开展绩效自评。一级项目绩效目标表，详见“</w:t>
      </w:r>
      <w:r>
        <w:rPr>
          <w:rFonts w:hint="eastAsia" w:ascii="仿宋_GB2312" w:hAnsi="仿宋_GB2312" w:eastAsia="仿宋_GB2312" w:cs="仿宋_GB2312"/>
          <w:sz w:val="32"/>
          <w:szCs w:val="32"/>
        </w:rPr>
        <w:t>单位</w:t>
      </w:r>
      <w:r>
        <w:rPr>
          <w:rFonts w:ascii="仿宋_GB2312" w:hAnsi="仿宋_GB2312" w:eastAsia="仿宋_GB2312" w:cs="仿宋_GB2312"/>
          <w:sz w:val="32"/>
          <w:szCs w:val="32"/>
        </w:rPr>
        <w:t>项目支出绩效表”</w:t>
      </w:r>
      <w:r>
        <w:rPr>
          <w:rFonts w:hint="eastAsia" w:ascii="仿宋_GB2312" w:hAnsi="仿宋_GB2312" w:eastAsia="仿宋_GB2312" w:cs="仿宋_GB2312"/>
          <w:sz w:val="32"/>
          <w:szCs w:val="32"/>
        </w:rPr>
        <w:t>。</w:t>
      </w:r>
    </w:p>
    <w:p>
      <w:pPr>
        <w:pStyle w:val="14"/>
        <w:spacing w:line="520" w:lineRule="exact"/>
        <w:ind w:firstLine="640" w:firstLineChars="200"/>
        <w:rPr>
          <w:rFonts w:ascii="黑体" w:hAnsi="黑体" w:eastAsia="黑体" w:cs="黑体"/>
          <w:bCs/>
          <w:kern w:val="2"/>
          <w:sz w:val="32"/>
          <w:szCs w:val="32"/>
        </w:rPr>
      </w:pPr>
      <w:r>
        <w:rPr>
          <w:rFonts w:hint="eastAsia" w:ascii="黑体" w:hAnsi="黑体" w:eastAsia="黑体" w:cs="黑体"/>
          <w:bCs/>
          <w:kern w:val="2"/>
          <w:sz w:val="32"/>
          <w:szCs w:val="32"/>
        </w:rPr>
        <w:t>三、名词解释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1.财政拨款收入：本级财政部门当年拨付的财政预算资金，包括一般公共预算财政拨款</w:t>
      </w:r>
      <w:r>
        <w:rPr>
          <w:rFonts w:hint="eastAsia" w:ascii="仿宋_GB2312" w:eastAsia="仿宋_GB2312"/>
          <w:color w:val="000000"/>
          <w:sz w:val="32"/>
          <w:szCs w:val="32"/>
        </w:rPr>
        <w:t>、</w:t>
      </w:r>
      <w:r>
        <w:rPr>
          <w:rFonts w:hint="eastAsia" w:ascii="仿宋_GB2312" w:hAnsi="仿宋_GB2312" w:eastAsia="仿宋_GB2312" w:cs="仿宋_GB2312"/>
          <w:sz w:val="32"/>
          <w:szCs w:val="32"/>
        </w:rPr>
        <w:t>政府性基金预算和国有资本经营预算财政拨款。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2.基本支出：是预算单位为保障其正常运转，完成日常工作任务所发生的支出，包括人员支出和日常公用支出。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三公”经费：纳入财政预决算管理的“三公”经费，是指部门用一般公共预算财政拨款安排的因公出国（境）费用、公务用车购置及运行费和公务接待费。其中，因公出国（境）费用反映单位公务出国（境）的国际旅费、国外城市间交通费、住宿费、伙食费、培训费、公杂费等支出，不含教学科研人员学术交流出国（境）费用；公务用车购置及运行费反映单位公务用车车辆购置支出（含车辆购置税）及燃料费、新能源汽车充电费、维修费、过桥过路费、保险费、安全奖励费用等支出；公务接待费反映单位按规定开支的各类公务接待（含外宾接待）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4.社会保障和就业支出（类）-社会福利（款）-殡葬（项）：主要用于丽水市民政事业发展中心开展殡葬管理等方面的支出。</w:t>
      </w:r>
    </w:p>
    <w:sectPr>
      <w:headerReference r:id="rId3" w:type="default"/>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0000000000000000000"/>
    <w:charset w:val="86"/>
    <w:family w:val="script"/>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5A99C"/>
    <w:multiLevelType w:val="singleLevel"/>
    <w:tmpl w:val="5895A99C"/>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8453C"/>
    <w:rsid w:val="00012BB9"/>
    <w:rsid w:val="0003003B"/>
    <w:rsid w:val="00037FBA"/>
    <w:rsid w:val="00084C3B"/>
    <w:rsid w:val="000F6704"/>
    <w:rsid w:val="00113037"/>
    <w:rsid w:val="0014553D"/>
    <w:rsid w:val="00151805"/>
    <w:rsid w:val="0018453C"/>
    <w:rsid w:val="001C6D6F"/>
    <w:rsid w:val="001D7273"/>
    <w:rsid w:val="001F186B"/>
    <w:rsid w:val="0025199F"/>
    <w:rsid w:val="00262BFB"/>
    <w:rsid w:val="002E190E"/>
    <w:rsid w:val="00312421"/>
    <w:rsid w:val="00335CA3"/>
    <w:rsid w:val="0034320B"/>
    <w:rsid w:val="0035041B"/>
    <w:rsid w:val="00352D79"/>
    <w:rsid w:val="003533AA"/>
    <w:rsid w:val="00372A55"/>
    <w:rsid w:val="00375F5A"/>
    <w:rsid w:val="003A54FF"/>
    <w:rsid w:val="003E68CE"/>
    <w:rsid w:val="003F5036"/>
    <w:rsid w:val="004773A1"/>
    <w:rsid w:val="004C1A7E"/>
    <w:rsid w:val="004E07B6"/>
    <w:rsid w:val="004F65D0"/>
    <w:rsid w:val="004F6D96"/>
    <w:rsid w:val="00511DA8"/>
    <w:rsid w:val="00526728"/>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65439"/>
    <w:rsid w:val="008939A6"/>
    <w:rsid w:val="0089440C"/>
    <w:rsid w:val="00905FCD"/>
    <w:rsid w:val="00937AE8"/>
    <w:rsid w:val="009415A1"/>
    <w:rsid w:val="009427F2"/>
    <w:rsid w:val="009A7459"/>
    <w:rsid w:val="009B71E7"/>
    <w:rsid w:val="009E0F3D"/>
    <w:rsid w:val="00A069C3"/>
    <w:rsid w:val="00A76362"/>
    <w:rsid w:val="00A86842"/>
    <w:rsid w:val="00AB2741"/>
    <w:rsid w:val="00B109C2"/>
    <w:rsid w:val="00B85FDA"/>
    <w:rsid w:val="00BA6311"/>
    <w:rsid w:val="00C35F38"/>
    <w:rsid w:val="00C35FDD"/>
    <w:rsid w:val="00C47BB8"/>
    <w:rsid w:val="00C50353"/>
    <w:rsid w:val="00C52D1F"/>
    <w:rsid w:val="00C92B3B"/>
    <w:rsid w:val="00CC1B9F"/>
    <w:rsid w:val="00CE3F52"/>
    <w:rsid w:val="00D23BCE"/>
    <w:rsid w:val="00D4103A"/>
    <w:rsid w:val="00D7617F"/>
    <w:rsid w:val="00D81B35"/>
    <w:rsid w:val="00D95D8E"/>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66ACE"/>
    <w:rsid w:val="00F70D9E"/>
    <w:rsid w:val="00F7116F"/>
    <w:rsid w:val="01405C62"/>
    <w:rsid w:val="01F263DB"/>
    <w:rsid w:val="01F648EB"/>
    <w:rsid w:val="024C6702"/>
    <w:rsid w:val="026505B4"/>
    <w:rsid w:val="028630A1"/>
    <w:rsid w:val="02FD4879"/>
    <w:rsid w:val="038C7FF1"/>
    <w:rsid w:val="03AA3E3B"/>
    <w:rsid w:val="03EA5C50"/>
    <w:rsid w:val="0458580D"/>
    <w:rsid w:val="04600135"/>
    <w:rsid w:val="05054F3D"/>
    <w:rsid w:val="05F46152"/>
    <w:rsid w:val="05F835B0"/>
    <w:rsid w:val="06113422"/>
    <w:rsid w:val="063B27DE"/>
    <w:rsid w:val="065E25EC"/>
    <w:rsid w:val="06835E42"/>
    <w:rsid w:val="06F965CB"/>
    <w:rsid w:val="07487AC1"/>
    <w:rsid w:val="07623DA7"/>
    <w:rsid w:val="081119C7"/>
    <w:rsid w:val="08DE4DFD"/>
    <w:rsid w:val="0A1D1E06"/>
    <w:rsid w:val="0A4C7CCD"/>
    <w:rsid w:val="0B486D9D"/>
    <w:rsid w:val="0B4F52A1"/>
    <w:rsid w:val="0B652DFD"/>
    <w:rsid w:val="0B654246"/>
    <w:rsid w:val="0BD448F3"/>
    <w:rsid w:val="0C7B7749"/>
    <w:rsid w:val="0CE2397A"/>
    <w:rsid w:val="0CEE5818"/>
    <w:rsid w:val="0DDF3EA9"/>
    <w:rsid w:val="0F0A0BC6"/>
    <w:rsid w:val="0F216C64"/>
    <w:rsid w:val="0F3E23E2"/>
    <w:rsid w:val="0F5C4EB1"/>
    <w:rsid w:val="0F760C96"/>
    <w:rsid w:val="0F8B51E9"/>
    <w:rsid w:val="0FEA06B3"/>
    <w:rsid w:val="106B2554"/>
    <w:rsid w:val="1085571C"/>
    <w:rsid w:val="10AD6224"/>
    <w:rsid w:val="113F7BA5"/>
    <w:rsid w:val="12970A77"/>
    <w:rsid w:val="12D300E7"/>
    <w:rsid w:val="136B79EF"/>
    <w:rsid w:val="1370543F"/>
    <w:rsid w:val="13811EEE"/>
    <w:rsid w:val="13FF3975"/>
    <w:rsid w:val="14861683"/>
    <w:rsid w:val="14887B46"/>
    <w:rsid w:val="14EF3497"/>
    <w:rsid w:val="153C45B3"/>
    <w:rsid w:val="157947AC"/>
    <w:rsid w:val="15DB09EF"/>
    <w:rsid w:val="1650535C"/>
    <w:rsid w:val="16B75B8F"/>
    <w:rsid w:val="16FE1938"/>
    <w:rsid w:val="170C3948"/>
    <w:rsid w:val="178056C8"/>
    <w:rsid w:val="17EC7FC1"/>
    <w:rsid w:val="17F81734"/>
    <w:rsid w:val="180061CB"/>
    <w:rsid w:val="18154C5A"/>
    <w:rsid w:val="18EF3804"/>
    <w:rsid w:val="19001E74"/>
    <w:rsid w:val="195C3A7E"/>
    <w:rsid w:val="1A2375F0"/>
    <w:rsid w:val="1AC0275A"/>
    <w:rsid w:val="1AE500E3"/>
    <w:rsid w:val="1B1D1342"/>
    <w:rsid w:val="1B2A6629"/>
    <w:rsid w:val="1BBC2184"/>
    <w:rsid w:val="1C103D2D"/>
    <w:rsid w:val="1C1965EC"/>
    <w:rsid w:val="1C7701B9"/>
    <w:rsid w:val="1CEA3F89"/>
    <w:rsid w:val="1CF73295"/>
    <w:rsid w:val="1D451326"/>
    <w:rsid w:val="1D5F4748"/>
    <w:rsid w:val="1D99665F"/>
    <w:rsid w:val="1E621D9B"/>
    <w:rsid w:val="1E9448CB"/>
    <w:rsid w:val="1E945AB3"/>
    <w:rsid w:val="1EA3498E"/>
    <w:rsid w:val="1EFB5835"/>
    <w:rsid w:val="1F5052F4"/>
    <w:rsid w:val="1F8A1433"/>
    <w:rsid w:val="1FD94E57"/>
    <w:rsid w:val="205247F6"/>
    <w:rsid w:val="205508A0"/>
    <w:rsid w:val="206501BF"/>
    <w:rsid w:val="20C21B5F"/>
    <w:rsid w:val="20D8491F"/>
    <w:rsid w:val="2163103A"/>
    <w:rsid w:val="217D79B3"/>
    <w:rsid w:val="219B3B12"/>
    <w:rsid w:val="219E2440"/>
    <w:rsid w:val="21F8300E"/>
    <w:rsid w:val="22D4227E"/>
    <w:rsid w:val="22FA27EC"/>
    <w:rsid w:val="230477A4"/>
    <w:rsid w:val="234550B7"/>
    <w:rsid w:val="2384696C"/>
    <w:rsid w:val="23B968AE"/>
    <w:rsid w:val="240772FF"/>
    <w:rsid w:val="24183DF0"/>
    <w:rsid w:val="247778DD"/>
    <w:rsid w:val="247A77A8"/>
    <w:rsid w:val="24D6630F"/>
    <w:rsid w:val="24F84929"/>
    <w:rsid w:val="252A0A7B"/>
    <w:rsid w:val="257B506C"/>
    <w:rsid w:val="259F7519"/>
    <w:rsid w:val="25AF42DB"/>
    <w:rsid w:val="25B348BA"/>
    <w:rsid w:val="25DE1005"/>
    <w:rsid w:val="25FD2566"/>
    <w:rsid w:val="26146B0C"/>
    <w:rsid w:val="26816946"/>
    <w:rsid w:val="26DB7398"/>
    <w:rsid w:val="27033FBD"/>
    <w:rsid w:val="2705728B"/>
    <w:rsid w:val="27417BF8"/>
    <w:rsid w:val="27693B45"/>
    <w:rsid w:val="283A129B"/>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E33635"/>
    <w:rsid w:val="2D391980"/>
    <w:rsid w:val="2D7C6F9A"/>
    <w:rsid w:val="2ED263DE"/>
    <w:rsid w:val="2F312BD6"/>
    <w:rsid w:val="2F4F315F"/>
    <w:rsid w:val="2F5260FE"/>
    <w:rsid w:val="2F78760A"/>
    <w:rsid w:val="30780EC9"/>
    <w:rsid w:val="309A0801"/>
    <w:rsid w:val="31651329"/>
    <w:rsid w:val="31C46552"/>
    <w:rsid w:val="31EC7268"/>
    <w:rsid w:val="32691E0F"/>
    <w:rsid w:val="33722AF4"/>
    <w:rsid w:val="339F6CDD"/>
    <w:rsid w:val="344952F9"/>
    <w:rsid w:val="34962644"/>
    <w:rsid w:val="34F20284"/>
    <w:rsid w:val="356A25A7"/>
    <w:rsid w:val="3619346A"/>
    <w:rsid w:val="366152C5"/>
    <w:rsid w:val="37DD34EA"/>
    <w:rsid w:val="3859649B"/>
    <w:rsid w:val="386D2696"/>
    <w:rsid w:val="38CA384A"/>
    <w:rsid w:val="39227B1B"/>
    <w:rsid w:val="39406911"/>
    <w:rsid w:val="39850296"/>
    <w:rsid w:val="39C26750"/>
    <w:rsid w:val="3A7F1D43"/>
    <w:rsid w:val="3A8D223E"/>
    <w:rsid w:val="3B291386"/>
    <w:rsid w:val="3B563038"/>
    <w:rsid w:val="3B7A306D"/>
    <w:rsid w:val="3B80307E"/>
    <w:rsid w:val="3BCA7BD7"/>
    <w:rsid w:val="3C6C37E2"/>
    <w:rsid w:val="3C7D1C3F"/>
    <w:rsid w:val="3CDF42B5"/>
    <w:rsid w:val="3CEA3E5A"/>
    <w:rsid w:val="3CFD6A0C"/>
    <w:rsid w:val="3DDA1E4D"/>
    <w:rsid w:val="400943B7"/>
    <w:rsid w:val="40143523"/>
    <w:rsid w:val="406B2735"/>
    <w:rsid w:val="4171469C"/>
    <w:rsid w:val="41857EAB"/>
    <w:rsid w:val="42C454C8"/>
    <w:rsid w:val="42EC4BA0"/>
    <w:rsid w:val="43482ADF"/>
    <w:rsid w:val="43497E11"/>
    <w:rsid w:val="438C52D1"/>
    <w:rsid w:val="43AF1DC7"/>
    <w:rsid w:val="442360D8"/>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9547ADE"/>
    <w:rsid w:val="499358EA"/>
    <w:rsid w:val="49A70025"/>
    <w:rsid w:val="4A9518DB"/>
    <w:rsid w:val="4AB935E6"/>
    <w:rsid w:val="4B1F601E"/>
    <w:rsid w:val="4B65339C"/>
    <w:rsid w:val="4BE2220E"/>
    <w:rsid w:val="4CBF2857"/>
    <w:rsid w:val="4CF82AE4"/>
    <w:rsid w:val="4D097364"/>
    <w:rsid w:val="4D667BB3"/>
    <w:rsid w:val="4D7808AB"/>
    <w:rsid w:val="4DC87963"/>
    <w:rsid w:val="4E0626FD"/>
    <w:rsid w:val="4EA45B39"/>
    <w:rsid w:val="4EED2017"/>
    <w:rsid w:val="4F2E2211"/>
    <w:rsid w:val="4F4E78CD"/>
    <w:rsid w:val="4FA62E1E"/>
    <w:rsid w:val="4FAC0AB2"/>
    <w:rsid w:val="4FC809F8"/>
    <w:rsid w:val="4FE85961"/>
    <w:rsid w:val="50072C4D"/>
    <w:rsid w:val="50341189"/>
    <w:rsid w:val="50837233"/>
    <w:rsid w:val="514C5668"/>
    <w:rsid w:val="51513799"/>
    <w:rsid w:val="518C29B6"/>
    <w:rsid w:val="52170DB7"/>
    <w:rsid w:val="52AA23A8"/>
    <w:rsid w:val="52B7187A"/>
    <w:rsid w:val="52BF3A93"/>
    <w:rsid w:val="53A5465B"/>
    <w:rsid w:val="53B6028C"/>
    <w:rsid w:val="54392B16"/>
    <w:rsid w:val="54442E65"/>
    <w:rsid w:val="545B2AA1"/>
    <w:rsid w:val="549B5701"/>
    <w:rsid w:val="54A9277D"/>
    <w:rsid w:val="55182E77"/>
    <w:rsid w:val="553F16B7"/>
    <w:rsid w:val="558856A9"/>
    <w:rsid w:val="55CA2A9E"/>
    <w:rsid w:val="55CA3B80"/>
    <w:rsid w:val="55E50F1B"/>
    <w:rsid w:val="565F6886"/>
    <w:rsid w:val="56BC237C"/>
    <w:rsid w:val="56CD4B4D"/>
    <w:rsid w:val="575C7815"/>
    <w:rsid w:val="5798381B"/>
    <w:rsid w:val="57D4447A"/>
    <w:rsid w:val="57F759F2"/>
    <w:rsid w:val="585447AE"/>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EF472E"/>
    <w:rsid w:val="5C932202"/>
    <w:rsid w:val="5CC87E6F"/>
    <w:rsid w:val="5CD918EA"/>
    <w:rsid w:val="5D247D3D"/>
    <w:rsid w:val="5DAE1AC9"/>
    <w:rsid w:val="5E153AF5"/>
    <w:rsid w:val="5F0E1E7F"/>
    <w:rsid w:val="5F112305"/>
    <w:rsid w:val="5F2767B3"/>
    <w:rsid w:val="5FE31F70"/>
    <w:rsid w:val="60045498"/>
    <w:rsid w:val="614C1844"/>
    <w:rsid w:val="617A6C2D"/>
    <w:rsid w:val="61855523"/>
    <w:rsid w:val="618968F0"/>
    <w:rsid w:val="619E6355"/>
    <w:rsid w:val="61BD64DA"/>
    <w:rsid w:val="6215384D"/>
    <w:rsid w:val="627460EE"/>
    <w:rsid w:val="62AC06BC"/>
    <w:rsid w:val="633B4987"/>
    <w:rsid w:val="63525D55"/>
    <w:rsid w:val="63F321C7"/>
    <w:rsid w:val="64BD699D"/>
    <w:rsid w:val="64C20A08"/>
    <w:rsid w:val="64F06443"/>
    <w:rsid w:val="65737FB9"/>
    <w:rsid w:val="65DF5ECF"/>
    <w:rsid w:val="661D7FD4"/>
    <w:rsid w:val="665A45AE"/>
    <w:rsid w:val="66A662C4"/>
    <w:rsid w:val="66DE2D4E"/>
    <w:rsid w:val="67222B8A"/>
    <w:rsid w:val="679D182D"/>
    <w:rsid w:val="67BB6396"/>
    <w:rsid w:val="68794E30"/>
    <w:rsid w:val="687B5327"/>
    <w:rsid w:val="688621C1"/>
    <w:rsid w:val="68C15BDE"/>
    <w:rsid w:val="6AD23ACD"/>
    <w:rsid w:val="6AE706B2"/>
    <w:rsid w:val="6B103823"/>
    <w:rsid w:val="6B315A81"/>
    <w:rsid w:val="6B4E7636"/>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061B64"/>
    <w:rsid w:val="75127B2A"/>
    <w:rsid w:val="756B70AB"/>
    <w:rsid w:val="762D45E7"/>
    <w:rsid w:val="76432C97"/>
    <w:rsid w:val="76472E5B"/>
    <w:rsid w:val="76622032"/>
    <w:rsid w:val="76DA2B8D"/>
    <w:rsid w:val="773F1B2E"/>
    <w:rsid w:val="776141C0"/>
    <w:rsid w:val="77E71EE7"/>
    <w:rsid w:val="78403651"/>
    <w:rsid w:val="784051C1"/>
    <w:rsid w:val="789E16E5"/>
    <w:rsid w:val="78DB40C6"/>
    <w:rsid w:val="7954401D"/>
    <w:rsid w:val="79547EF1"/>
    <w:rsid w:val="79A24C96"/>
    <w:rsid w:val="7AC02D1F"/>
    <w:rsid w:val="7AE80A7B"/>
    <w:rsid w:val="7AE861A8"/>
    <w:rsid w:val="7B452E9A"/>
    <w:rsid w:val="7B5C7060"/>
    <w:rsid w:val="7B5E14E4"/>
    <w:rsid w:val="7B741965"/>
    <w:rsid w:val="7BBF78B4"/>
    <w:rsid w:val="7BFE30BC"/>
    <w:rsid w:val="7C0A7BF1"/>
    <w:rsid w:val="7CD24C07"/>
    <w:rsid w:val="7CDD0037"/>
    <w:rsid w:val="7D2C5AF6"/>
    <w:rsid w:val="7D8F4D87"/>
    <w:rsid w:val="7DBB66FE"/>
    <w:rsid w:val="7DBE27C1"/>
    <w:rsid w:val="7DCA5F0F"/>
    <w:rsid w:val="7E1F736F"/>
    <w:rsid w:val="7E300305"/>
    <w:rsid w:val="7E7D74C3"/>
    <w:rsid w:val="7EB52BD6"/>
    <w:rsid w:val="7F346A78"/>
    <w:rsid w:val="7FA57776"/>
    <w:rsid w:val="7FC250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paragraph" w:customStyle="1" w:styleId="10">
    <w:name w:val="Char"/>
    <w:basedOn w:val="1"/>
    <w:qFormat/>
    <w:uiPriority w:val="0"/>
    <w:rPr>
      <w:rFonts w:ascii="宋体" w:hAnsi="宋体" w:cs="Courier New"/>
      <w:sz w:val="32"/>
      <w:szCs w:val="32"/>
    </w:rPr>
  </w:style>
  <w:style w:type="character" w:customStyle="1" w:styleId="11">
    <w:name w:val="页眉 Char"/>
    <w:link w:val="5"/>
    <w:qFormat/>
    <w:uiPriority w:val="0"/>
    <w:rPr>
      <w:kern w:val="2"/>
      <w:sz w:val="18"/>
      <w:szCs w:val="18"/>
    </w:rPr>
  </w:style>
  <w:style w:type="character" w:customStyle="1" w:styleId="12">
    <w:name w:val="页脚 Char"/>
    <w:link w:val="4"/>
    <w:qFormat/>
    <w:uiPriority w:val="0"/>
    <w:rPr>
      <w:kern w:val="2"/>
      <w:sz w:val="18"/>
      <w:szCs w:val="18"/>
    </w:rPr>
  </w:style>
  <w:style w:type="paragraph" w:customStyle="1" w:styleId="13">
    <w:name w:val="[Normal]"/>
    <w:qFormat/>
    <w:uiPriority w:val="0"/>
    <w:rPr>
      <w:rFonts w:ascii="宋体" w:hAnsi="宋体" w:eastAsia="宋体" w:cs="Times New Roman"/>
      <w:sz w:val="24"/>
      <w:lang w:val="zh-CN"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8</Pages>
  <Words>505</Words>
  <Characters>2883</Characters>
  <Lines>24</Lines>
  <Paragraphs>6</Paragraphs>
  <TotalTime>90</TotalTime>
  <ScaleCrop>false</ScaleCrop>
  <LinksUpToDate>false</LinksUpToDate>
  <CharactersWithSpaces>3382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叶水花</cp:lastModifiedBy>
  <dcterms:modified xsi:type="dcterms:W3CDTF">2025-03-28T07:39:25Z</dcterms:modified>
  <dc:title>关于2019年部门预算的批复</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eyJoZGlkIjoiMDkyMzBhOWU1ZmQyNTE3YzlkZWViNjFmMzM0OWUyNGQifQ==</vt:lpwstr>
  </property>
</Properties>
</file>