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pacing w:val="15"/>
          <w:sz w:val="32"/>
          <w:szCs w:val="32"/>
        </w:rPr>
      </w:pPr>
    </w:p>
    <w:p>
      <w:pPr>
        <w:spacing w:line="560" w:lineRule="exact"/>
        <w:jc w:val="center"/>
        <w:rPr>
          <w:rFonts w:ascii="方正小标宋简体" w:hAnsi="方正小标宋简体" w:eastAsia="方正小标宋简体" w:cs="方正小标宋简体"/>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r>
        <w:rPr>
          <w:rFonts w:ascii="方正小标宋简体" w:hAnsi="方正小标宋简体" w:eastAsia="方正小标宋简体" w:cs="方正小标宋简体"/>
          <w:bCs/>
          <w:spacing w:val="15"/>
          <w:sz w:val="44"/>
          <w:szCs w:val="44"/>
        </w:rPr>
        <w:t>丽水市养老服务指导中心</w:t>
      </w:r>
      <w:r>
        <w:rPr>
          <w:rFonts w:hint="eastAsia" w:ascii="方正小标宋简体" w:hAnsi="方正小标宋简体" w:eastAsia="方正小标宋简体" w:cs="方正小标宋简体"/>
          <w:bCs/>
          <w:spacing w:val="15"/>
          <w:sz w:val="44"/>
          <w:szCs w:val="44"/>
          <w:lang w:eastAsia="zh-CN"/>
        </w:rPr>
        <w:t>2025年</w:t>
      </w:r>
      <w:r>
        <w:rPr>
          <w:rFonts w:hint="eastAsia" w:ascii="方正小标宋简体" w:hAnsi="方正小标宋简体" w:eastAsia="方正小标宋简体" w:cs="方正小标宋简体"/>
          <w:bCs/>
          <w:spacing w:val="15"/>
          <w:sz w:val="44"/>
          <w:szCs w:val="44"/>
        </w:rPr>
        <w:t>单位预算</w:t>
      </w:r>
    </w:p>
    <w:p>
      <w:pPr>
        <w:spacing w:line="560" w:lineRule="exact"/>
        <w:ind w:firstLine="590" w:firstLineChars="196"/>
        <w:rPr>
          <w:rStyle w:val="9"/>
          <w:color w:val="000000"/>
          <w:sz w:val="30"/>
          <w:szCs w:val="30"/>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r>
        <w:rPr>
          <w:rStyle w:val="9"/>
          <w:rFonts w:hint="eastAsia" w:ascii="黑体" w:eastAsia="黑体"/>
          <w:b w:val="0"/>
          <w:color w:val="000000"/>
          <w:sz w:val="32"/>
          <w:szCs w:val="32"/>
        </w:rPr>
        <w:t>目录</w:t>
      </w:r>
    </w:p>
    <w:p>
      <w:pPr>
        <w:spacing w:line="520" w:lineRule="exact"/>
        <w:rPr>
          <w:rFonts w:eastAsia="黑体"/>
          <w:sz w:val="32"/>
        </w:rPr>
      </w:pPr>
      <w:r>
        <w:rPr>
          <w:rFonts w:hint="eastAsia" w:ascii="黑体" w:eastAsia="黑体"/>
          <w:color w:val="000000"/>
          <w:sz w:val="32"/>
          <w:highlight w:val="white"/>
        </w:rPr>
        <w:t>一、单位</w:t>
      </w:r>
      <w:r>
        <w:rPr>
          <w:rStyle w:val="9"/>
          <w:rFonts w:hint="eastAsia" w:ascii="黑体" w:eastAsia="黑体"/>
          <w:b w:val="0"/>
          <w:color w:val="000000"/>
          <w:sz w:val="32"/>
          <w:szCs w:val="32"/>
        </w:rPr>
        <w:t>概况</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（二）单位机构设置情况</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二、</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丽水市养老服务指导中心单位预算安排情况说明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（一）关于丽水市养老服务指导中心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（二）关于丽水市养老服务指导中心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收入预算情况说明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（三）关于丽水市养老服务指导中心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支出预算情况说明</w:t>
      </w:r>
      <w:r>
        <w:rPr>
          <w:rFonts w:hint="eastAsia" w:ascii="楷体_GB2312" w:hAnsi="楷体_GB2312" w:eastAsia="楷体_GB2312" w:cs="楷体_GB2312"/>
          <w:bCs/>
          <w:sz w:val="32"/>
          <w:szCs w:val="32"/>
        </w:rPr>
        <w:br w:type="textWrapping"/>
      </w:r>
      <w:r>
        <w:rPr>
          <w:rFonts w:hint="eastAsia" w:ascii="楷体_GB2312" w:hAnsi="楷体_GB2312" w:eastAsia="楷体_GB2312" w:cs="楷体_GB2312"/>
          <w:bCs/>
          <w:sz w:val="32"/>
          <w:szCs w:val="32"/>
        </w:rPr>
        <w:t>（四）关于丽水市养老服务指导中心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财政拨款收支预算情况的总体说明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（五）关于丽水市养老服务指导中心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一般公共预算拨款情况说明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（六）关于丽水市养老服务指导中心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一般公共预算基本支出情况说明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（七）关于丽水市养老服务指导中心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政府性基金预算支出情况说明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（八）关于丽水市养老服务指导中心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国有资本经营预算支出情况说明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（九）关于丽水市养老服务指导中心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一般公共预算“三公”经费预算情况说明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4"/>
        <w:spacing w:line="520" w:lineRule="exact"/>
        <w:rPr>
          <w:rStyle w:val="9"/>
          <w:rFonts w:ascii="黑体" w:hAnsi="Calibri" w:eastAsia="黑体"/>
          <w:b w:val="0"/>
          <w:color w:val="000000"/>
          <w:kern w:val="2"/>
          <w:sz w:val="32"/>
          <w:szCs w:val="32"/>
        </w:rPr>
      </w:pPr>
      <w:r>
        <w:rPr>
          <w:rStyle w:val="9"/>
          <w:rFonts w:hint="eastAsia" w:ascii="黑体" w:hAnsi="Calibri" w:eastAsia="黑体"/>
          <w:b w:val="0"/>
          <w:color w:val="000000"/>
          <w:kern w:val="2"/>
          <w:sz w:val="32"/>
          <w:szCs w:val="32"/>
        </w:rPr>
        <w:t>三、名词解释</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四、</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丽水市养老服务指导中心单位预算表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单位收入预算总表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单位支出预算总表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（四）</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单位财政拨款收支预算总表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单位一般公共预算基本支出表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单位一般公共预算“三公”经费支出表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单位政府性基金预算支出表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单位国有资本经营预算支出表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单位项目支出预算表</w:t>
      </w:r>
    </w:p>
    <w:p>
      <w:pPr>
        <w:autoSpaceDE w:val="0"/>
        <w:autoSpaceDN w:val="0"/>
        <w:adjustRightInd w:val="0"/>
        <w:ind w:left="420" w:leftChars="200"/>
        <w:jc w:val="left"/>
        <w:rPr>
          <w:rStyle w:val="9"/>
          <w:rFonts w:ascii="楷体_GB2312" w:hAnsi="楷体_GB2312" w:eastAsia="楷体_GB2312" w:cs="楷体_GB2312"/>
          <w:b w:val="0"/>
          <w:sz w:val="32"/>
          <w:szCs w:val="32"/>
        </w:rPr>
      </w:pPr>
      <w:r>
        <w:rPr>
          <w:rFonts w:hint="eastAsia" w:ascii="楷体_GB2312" w:hAnsi="楷体_GB2312" w:eastAsia="楷体_GB2312" w:cs="楷体_GB2312"/>
          <w:bCs/>
          <w:sz w:val="32"/>
          <w:szCs w:val="32"/>
        </w:rPr>
        <w:t>（十一）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单位项目支出绩效表</w:t>
      </w: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spacing w:line="520" w:lineRule="exact"/>
        <w:ind w:firstLine="627" w:firstLineChars="196"/>
        <w:rPr>
          <w:rStyle w:val="9"/>
          <w:rFonts w:ascii="黑体" w:eastAsia="黑体"/>
          <w:b w:val="0"/>
          <w:color w:val="000000"/>
          <w:sz w:val="32"/>
          <w:szCs w:val="32"/>
        </w:rPr>
      </w:pPr>
      <w:r>
        <w:rPr>
          <w:rStyle w:val="9"/>
          <w:rFonts w:hint="eastAsia" w:ascii="黑体" w:eastAsia="黑体"/>
          <w:b w:val="0"/>
          <w:color w:val="000000"/>
          <w:sz w:val="32"/>
          <w:szCs w:val="32"/>
        </w:rPr>
        <w:t>一、单位概况</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spacing w:line="520" w:lineRule="exact"/>
        <w:ind w:firstLine="627" w:firstLineChars="196"/>
        <w:rPr>
          <w:rFonts w:ascii="仿宋_GB2312" w:eastAsia="仿宋_GB2312"/>
          <w:bCs/>
          <w:sz w:val="32"/>
          <w:szCs w:val="32"/>
        </w:rPr>
      </w:pPr>
      <w:r>
        <w:rPr>
          <w:rFonts w:hint="eastAsia" w:ascii="仿宋_GB2312" w:eastAsia="仿宋_GB2312"/>
          <w:bCs/>
          <w:sz w:val="32"/>
          <w:szCs w:val="32"/>
        </w:rPr>
        <w:t>1.负责全市各类养老服务机构的业务指导、行业监督与人员培训，配合开展养老服务各项评估、审核及检查等工作。</w:t>
      </w:r>
    </w:p>
    <w:p>
      <w:pPr>
        <w:spacing w:line="520" w:lineRule="exact"/>
        <w:ind w:firstLine="627" w:firstLineChars="196"/>
        <w:rPr>
          <w:rFonts w:ascii="仿宋_GB2312" w:eastAsia="仿宋_GB2312"/>
          <w:bCs/>
          <w:sz w:val="32"/>
          <w:szCs w:val="32"/>
        </w:rPr>
      </w:pPr>
      <w:r>
        <w:rPr>
          <w:rFonts w:hint="eastAsia" w:ascii="仿宋_GB2312" w:eastAsia="仿宋_GB2312"/>
          <w:bCs/>
          <w:sz w:val="32"/>
          <w:szCs w:val="32"/>
        </w:rPr>
        <w:t>2. 集中就业残疾人权益保护，残疾人福利相关政策宣传，残疾人就业培训和调查研究。</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（二）单位机构设置情况</w:t>
      </w:r>
    </w:p>
    <w:p>
      <w:pPr>
        <w:spacing w:line="520" w:lineRule="exact"/>
        <w:ind w:firstLine="627" w:firstLineChars="196"/>
      </w:pPr>
      <w:r>
        <w:rPr>
          <w:rFonts w:hint="eastAsia" w:ascii="仿宋_GB2312" w:eastAsia="仿宋_GB2312"/>
          <w:bCs/>
          <w:sz w:val="32"/>
          <w:szCs w:val="32"/>
        </w:rPr>
        <w:t>从预算单位构成看，</w:t>
      </w:r>
      <w:r>
        <w:rPr>
          <w:rFonts w:ascii="仿宋_GB2312" w:eastAsia="仿宋_GB2312"/>
          <w:bCs/>
          <w:sz w:val="32"/>
          <w:szCs w:val="32"/>
        </w:rPr>
        <w:fldChar w:fldCharType="begin"/>
      </w:r>
      <w:r>
        <w:rPr>
          <w:rFonts w:hint="eastAsia" w:ascii="仿宋_GB2312" w:eastAsia="仿宋_GB2312"/>
          <w:bCs/>
          <w:sz w:val="32"/>
          <w:szCs w:val="32"/>
        </w:rPr>
        <w:instrText xml:space="preserve">MERGEFIELD ${page855778723.ds388518707_V_RPT_BAS_AGENCY_INFO_NAME}</w:instrText>
      </w:r>
      <w:r>
        <w:rPr>
          <w:rFonts w:ascii="仿宋_GB2312" w:eastAsia="仿宋_GB2312"/>
          <w:bCs/>
          <w:sz w:val="32"/>
          <w:szCs w:val="32"/>
        </w:rPr>
        <w:fldChar w:fldCharType="separate"/>
      </w:r>
      <w:r>
        <w:rPr>
          <w:rFonts w:hint="eastAsia" w:ascii="仿宋_GB2312" w:eastAsia="仿宋_GB2312"/>
          <w:bCs/>
          <w:sz w:val="32"/>
          <w:szCs w:val="32"/>
        </w:rPr>
        <w:t>丽水市养老服务指导中心</w:t>
      </w:r>
      <w:r>
        <w:fldChar w:fldCharType="end"/>
      </w:r>
      <w:r>
        <w:rPr>
          <w:rFonts w:hint="eastAsia" w:ascii="仿宋_GB2312" w:eastAsia="仿宋_GB2312"/>
          <w:bCs/>
          <w:sz w:val="32"/>
          <w:szCs w:val="32"/>
        </w:rPr>
        <w:t>预算包括：丽水市养老服务指导中心单位预算。</w:t>
      </w:r>
    </w:p>
    <w:p>
      <w:pPr>
        <w:spacing w:line="520" w:lineRule="exact"/>
        <w:ind w:firstLine="640" w:firstLineChars="200"/>
        <w:rPr>
          <w:rFonts w:ascii="楷体_GB2312" w:hAnsi="楷体_GB2312" w:eastAsia="楷体_GB2312" w:cs="楷体_GB2312"/>
          <w:color w:val="000000"/>
          <w:sz w:val="32"/>
          <w:szCs w:val="32"/>
        </w:rPr>
      </w:pPr>
      <w:r>
        <w:rPr>
          <w:rStyle w:val="9"/>
          <w:rFonts w:hint="eastAsia" w:ascii="黑体" w:eastAsia="黑体"/>
          <w:b w:val="0"/>
          <w:color w:val="000000"/>
          <w:sz w:val="32"/>
          <w:szCs w:val="32"/>
        </w:rPr>
        <w:t>二、</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丽水市养老服务指导中心单位预算安排情况说明</w:t>
      </w:r>
      <w:r>
        <w:rPr>
          <w:rFonts w:hint="eastAsia"/>
          <w:color w:val="000000"/>
          <w:sz w:val="32"/>
          <w:szCs w:val="32"/>
        </w:rPr>
        <w:br w:type="textWrapping"/>
      </w:r>
      <w:r>
        <w:rPr>
          <w:rFonts w:hint="eastAsia" w:ascii="仿宋_GB2312" w:eastAsia="仿宋_GB2312"/>
          <w:b/>
          <w:bCs/>
          <w:color w:val="000000"/>
          <w:sz w:val="32"/>
          <w:szCs w:val="32"/>
        </w:rPr>
        <w:t>　　</w:t>
      </w:r>
      <w:r>
        <w:rPr>
          <w:rFonts w:hint="eastAsia" w:ascii="楷体_GB2312" w:hAnsi="楷体_GB2312" w:eastAsia="楷体_GB2312" w:cs="楷体_GB2312"/>
          <w:color w:val="000000"/>
          <w:sz w:val="32"/>
          <w:szCs w:val="32"/>
        </w:rPr>
        <w:t>（一）关于丽水市养老服务指导中心</w:t>
      </w:r>
      <w:r>
        <w:rPr>
          <w:rStyle w:val="9"/>
          <w:rFonts w:hint="eastAsia" w:ascii="楷体_GB2312" w:hAnsi="楷体_GB2312" w:eastAsia="楷体_GB2312" w:cs="楷体_GB2312"/>
          <w:b w:val="0"/>
          <w:bCs w:val="0"/>
          <w:color w:val="000000"/>
          <w:sz w:val="32"/>
          <w:szCs w:val="32"/>
          <w:lang w:eastAsia="zh-CN"/>
        </w:rPr>
        <w:t>2025年</w:t>
      </w:r>
      <w:r>
        <w:rPr>
          <w:rStyle w:val="9"/>
          <w:rFonts w:hint="eastAsia" w:ascii="楷体_GB2312" w:hAnsi="楷体_GB2312" w:eastAsia="楷体_GB2312" w:cs="楷体_GB2312"/>
          <w:b w:val="0"/>
          <w:bCs w:val="0"/>
          <w:color w:val="000000"/>
          <w:sz w:val="32"/>
          <w:szCs w:val="32"/>
        </w:rPr>
        <w:t>收支预算情况的总体说明</w:t>
      </w:r>
    </w:p>
    <w:p>
      <w:pPr>
        <w:spacing w:line="520" w:lineRule="exact"/>
        <w:rPr>
          <w:rFonts w:ascii="楷体_GB2312" w:hAnsi="楷体_GB2312" w:eastAsia="楷体_GB2312" w:cs="楷体_GB2312"/>
          <w:b/>
          <w:color w:val="000000"/>
          <w:sz w:val="32"/>
          <w:szCs w:val="32"/>
        </w:rPr>
      </w:pPr>
      <w:r>
        <w:rPr>
          <w:rFonts w:hint="eastAsia" w:ascii="仿宋_GB2312" w:eastAsia="仿宋_GB2312"/>
          <w:bCs/>
          <w:color w:val="000000"/>
          <w:sz w:val="32"/>
          <w:szCs w:val="32"/>
        </w:rPr>
        <w:t xml:space="preserve">    按照</w:t>
      </w:r>
      <w:r>
        <w:rPr>
          <w:rFonts w:hint="eastAsia" w:ascii="仿宋_GB2312" w:eastAsia="仿宋_GB2312"/>
          <w:bCs/>
          <w:sz w:val="32"/>
          <w:szCs w:val="32"/>
        </w:rPr>
        <w:t>综合预算的原则，丽水市养老服务指导中心</w:t>
      </w:r>
      <w:r>
        <w:rPr>
          <w:rFonts w:hint="eastAsia" w:ascii="仿宋_GB2312" w:eastAsia="仿宋_GB2312"/>
          <w:color w:val="000000"/>
          <w:sz w:val="32"/>
          <w:szCs w:val="32"/>
        </w:rPr>
        <w:t>所有收入和支出均纳入部门预算管理。收入包括：一般公共预算拨款收入</w:t>
      </w:r>
      <w:r>
        <w:rPr>
          <w:rFonts w:hint="eastAsia" w:ascii="仿宋_GB2312" w:eastAsia="仿宋_GB2312"/>
          <w:color w:val="000000"/>
          <w:sz w:val="32"/>
          <w:szCs w:val="32"/>
          <w:lang w:eastAsia="zh-CN"/>
        </w:rPr>
        <w:t>。</w:t>
      </w:r>
      <w:r>
        <w:rPr>
          <w:rFonts w:hint="eastAsia" w:ascii="仿宋_GB2312" w:eastAsia="仿宋_GB2312"/>
          <w:color w:val="000000"/>
          <w:sz w:val="32"/>
          <w:szCs w:val="32"/>
        </w:rPr>
        <w:t>支出包括：社会保障和就业支出、卫生健康支出。丽水市养老服务指导中心</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收支总预算388.51万元。</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（二）关于丽水市养老服务指导中心</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收入预算情况说明</w:t>
      </w:r>
    </w:p>
    <w:p>
      <w:pPr>
        <w:spacing w:line="520" w:lineRule="exact"/>
        <w:ind w:firstLine="642"/>
        <w:rPr>
          <w:rFonts w:ascii="仿宋_GB2312" w:eastAsia="仿宋_GB2312"/>
          <w:color w:val="000000"/>
          <w:sz w:val="32"/>
          <w:szCs w:val="32"/>
          <w:highlight w:val="yellow"/>
        </w:rPr>
      </w:pPr>
      <w:r>
        <w:rPr>
          <w:rFonts w:hint="eastAsia" w:ascii="仿宋_GB2312" w:hAnsi="仿宋_GB2312" w:eastAsia="仿宋_GB2312" w:cs="仿宋_GB2312"/>
          <w:color w:val="000000"/>
          <w:sz w:val="32"/>
          <w:szCs w:val="32"/>
          <w:highlight w:val="none"/>
        </w:rPr>
        <w:t>丽水市养老服务指导中心</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收入预算388.51万元，比上年执行数增加</w:t>
      </w:r>
      <w:r>
        <w:rPr>
          <w:rFonts w:hint="eastAsia" w:ascii="仿宋_GB2312" w:hAnsi="仿宋_GB2312" w:eastAsia="仿宋_GB2312" w:cs="仿宋_GB2312"/>
          <w:color w:val="000000"/>
          <w:sz w:val="32"/>
          <w:szCs w:val="32"/>
          <w:highlight w:val="none"/>
          <w:lang w:val="en-US" w:eastAsia="zh-CN"/>
        </w:rPr>
        <w:t>1.77</w:t>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highlight w:val="none"/>
        </w:rPr>
        <w:t>增</w:t>
      </w:r>
      <w:r>
        <w:rPr>
          <w:rFonts w:hint="eastAsia" w:ascii="仿宋_GB2312" w:hAnsi="仿宋_GB2312" w:eastAsia="仿宋_GB2312" w:cs="仿宋_GB2312"/>
          <w:color w:val="000000"/>
          <w:sz w:val="32"/>
          <w:szCs w:val="32"/>
          <w:highlight w:val="none"/>
        </w:rPr>
        <w:t>长</w:t>
      </w:r>
      <w:r>
        <w:rPr>
          <w:rFonts w:hint="eastAsia" w:ascii="仿宋_GB2312" w:hAnsi="仿宋_GB2312" w:eastAsia="仿宋_GB2312" w:cs="仿宋_GB2312"/>
          <w:color w:val="000000"/>
          <w:sz w:val="32"/>
          <w:szCs w:val="32"/>
          <w:highlight w:val="none"/>
          <w:lang w:val="en-US" w:eastAsia="zh-CN"/>
        </w:rPr>
        <w:t>0.46</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sz w:val="32"/>
          <w:szCs w:val="32"/>
          <w:highlight w:val="none"/>
          <w:lang w:eastAsia="zh-CN"/>
        </w:rPr>
        <w:t>人员经费增加。</w:t>
      </w:r>
    </w:p>
    <w:p>
      <w:pPr>
        <w:spacing w:line="520" w:lineRule="exact"/>
        <w:ind w:firstLine="642"/>
        <w:rPr>
          <w:rFonts w:hint="eastAsia" w:ascii="仿宋_GB2312" w:eastAsia="仿宋_GB2312"/>
          <w:color w:val="000000"/>
          <w:sz w:val="32"/>
          <w:szCs w:val="32"/>
          <w:lang w:eastAsia="zh-CN"/>
        </w:rPr>
      </w:pPr>
      <w:r>
        <w:rPr>
          <w:rFonts w:hint="eastAsia" w:ascii="仿宋_GB2312" w:eastAsia="仿宋_GB2312"/>
          <w:color w:val="000000"/>
          <w:sz w:val="32"/>
          <w:szCs w:val="32"/>
        </w:rPr>
        <w:t>其中：一般公共预算拨款收入</w:t>
      </w:r>
      <w:r>
        <w:rPr>
          <w:rFonts w:ascii="仿宋_GB2312" w:eastAsia="仿宋_GB2312"/>
          <w:color w:val="000000"/>
          <w:sz w:val="32"/>
          <w:szCs w:val="32"/>
        </w:rPr>
        <w:t>388.51</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占</w:t>
      </w:r>
      <w:r>
        <w:rPr>
          <w:rFonts w:hint="eastAsia" w:ascii="仿宋_GB2312" w:eastAsia="仿宋_GB2312"/>
          <w:color w:val="000000"/>
          <w:sz w:val="32"/>
          <w:szCs w:val="32"/>
          <w:lang w:val="en-US" w:eastAsia="zh-CN"/>
        </w:rPr>
        <w:t>100</w:t>
      </w:r>
      <w:r>
        <w:rPr>
          <w:rFonts w:hint="eastAsia" w:ascii="仿宋_GB2312" w:eastAsia="仿宋_GB2312"/>
          <w:color w:val="000000"/>
          <w:sz w:val="32"/>
          <w:szCs w:val="32"/>
        </w:rPr>
        <w:t>%</w:t>
      </w:r>
      <w:r>
        <w:rPr>
          <w:rFonts w:hint="eastAsia" w:ascii="仿宋_GB2312" w:eastAsia="仿宋_GB2312"/>
          <w:color w:val="000000"/>
          <w:sz w:val="32"/>
          <w:szCs w:val="32"/>
          <w:lang w:eastAsia="zh-CN"/>
        </w:rPr>
        <w:t>。</w:t>
      </w:r>
    </w:p>
    <w:p>
      <w:pPr>
        <w:spacing w:line="520" w:lineRule="exact"/>
        <w:rPr>
          <w:rFonts w:ascii="仿宋_GB2312" w:eastAsia="仿宋_GB2312"/>
          <w:color w:val="000000"/>
          <w:sz w:val="32"/>
          <w:szCs w:val="32"/>
          <w:highlight w:val="none"/>
        </w:rPr>
      </w:pPr>
      <w:r>
        <w:rPr>
          <w:rFonts w:hint="eastAsia" w:ascii="楷体_GB2312" w:hAnsi="楷体_GB2312" w:eastAsia="楷体_GB2312" w:cs="楷体_GB2312"/>
          <w:bCs/>
          <w:color w:val="000000"/>
          <w:sz w:val="32"/>
          <w:szCs w:val="32"/>
        </w:rPr>
        <w:t>　　（三）关于丽水市养老服务指导中心</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支出预算情况说明</w:t>
      </w:r>
      <w:r>
        <w:rPr>
          <w:rFonts w:hint="eastAsia" w:ascii="楷体_GB2312" w:hAnsi="楷体_GB2312" w:eastAsia="楷体_GB2312" w:cs="楷体_GB2312"/>
          <w:bCs/>
          <w:color w:val="000000"/>
          <w:sz w:val="32"/>
          <w:szCs w:val="32"/>
          <w:highlight w:val="none"/>
        </w:rPr>
        <w:br w:type="textWrapping"/>
      </w:r>
      <w:r>
        <w:rPr>
          <w:rFonts w:hint="eastAsia" w:ascii="仿宋_GB2312" w:eastAsia="仿宋_GB2312"/>
          <w:color w:val="000000"/>
          <w:sz w:val="32"/>
          <w:szCs w:val="32"/>
          <w:highlight w:val="none"/>
        </w:rPr>
        <w:t>　</w:t>
      </w:r>
      <w:r>
        <w:rPr>
          <w:rFonts w:hint="eastAsia" w:ascii="仿宋_GB2312" w:hAnsi="仿宋_GB2312" w:eastAsia="仿宋_GB2312" w:cs="仿宋_GB2312"/>
          <w:color w:val="000000"/>
          <w:sz w:val="32"/>
          <w:szCs w:val="32"/>
          <w:highlight w:val="none"/>
        </w:rPr>
        <w:t>　丽水市养老服务指导中心</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支出预算388.51万元，比上年执行数增加</w:t>
      </w:r>
      <w:r>
        <w:rPr>
          <w:rFonts w:hint="eastAsia" w:ascii="仿宋_GB2312" w:hAnsi="仿宋_GB2312" w:eastAsia="仿宋_GB2312" w:cs="仿宋_GB2312"/>
          <w:color w:val="000000"/>
          <w:sz w:val="32"/>
          <w:szCs w:val="32"/>
          <w:highlight w:val="none"/>
          <w:lang w:val="en-US" w:eastAsia="zh-CN"/>
        </w:rPr>
        <w:t>1.77</w:t>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highlight w:val="none"/>
        </w:rPr>
        <w:t>增长</w:t>
      </w:r>
      <w:r>
        <w:rPr>
          <w:rFonts w:hint="eastAsia" w:ascii="仿宋_GB2312" w:hAnsi="仿宋_GB2312" w:eastAsia="仿宋_GB2312" w:cs="仿宋_GB2312"/>
          <w:color w:val="000000"/>
          <w:sz w:val="32"/>
          <w:highlight w:val="none"/>
          <w:lang w:val="en-US" w:eastAsia="zh-CN"/>
        </w:rPr>
        <w:t>0.46</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sz w:val="32"/>
          <w:szCs w:val="32"/>
          <w:highlight w:val="none"/>
          <w:lang w:eastAsia="zh-CN"/>
        </w:rPr>
        <w:t>人员经费增加。</w:t>
      </w:r>
    </w:p>
    <w:p>
      <w:pPr>
        <w:spacing w:line="520" w:lineRule="exact"/>
        <w:ind w:firstLine="630"/>
        <w:rPr>
          <w:rFonts w:hint="eastAsia" w:ascii="仿宋_GB2312" w:eastAsia="仿宋_GB2312"/>
          <w:color w:val="000000"/>
          <w:sz w:val="32"/>
          <w:szCs w:val="32"/>
        </w:rPr>
      </w:pPr>
      <w:r>
        <w:rPr>
          <w:rFonts w:hint="eastAsia" w:ascii="仿宋_GB2312" w:eastAsia="仿宋_GB2312"/>
          <w:color w:val="000000"/>
          <w:sz w:val="32"/>
          <w:szCs w:val="32"/>
        </w:rPr>
        <w:t>1.按支出功能分类，1.按支出功能分类，</w:t>
      </w:r>
      <w:r>
        <w:rPr>
          <w:rFonts w:hint="eastAsia" w:ascii="仿宋_GB2312" w:eastAsia="仿宋_GB2312"/>
          <w:color w:val="000000"/>
          <w:sz w:val="32"/>
          <w:szCs w:val="32"/>
          <w:lang w:eastAsia="zh-CN"/>
        </w:rPr>
        <w:t>包括</w:t>
      </w:r>
      <w:r>
        <w:rPr>
          <w:rFonts w:hint="eastAsia" w:ascii="仿宋_GB2312" w:eastAsia="仿宋_GB2312"/>
          <w:color w:val="000000"/>
          <w:sz w:val="32"/>
          <w:szCs w:val="32"/>
        </w:rPr>
        <w:t>社会保障和就业支出</w:t>
      </w:r>
      <w:r>
        <w:rPr>
          <w:rFonts w:hint="eastAsia" w:ascii="仿宋_GB2312" w:eastAsia="仿宋_GB2312"/>
          <w:color w:val="000000"/>
          <w:sz w:val="32"/>
          <w:szCs w:val="32"/>
          <w:lang w:val="en-US" w:eastAsia="zh-CN"/>
        </w:rPr>
        <w:t>377.45</w:t>
      </w:r>
      <w:r>
        <w:rPr>
          <w:rFonts w:hint="eastAsia" w:ascii="仿宋_GB2312" w:eastAsia="仿宋_GB2312"/>
          <w:color w:val="000000"/>
          <w:sz w:val="32"/>
          <w:szCs w:val="32"/>
        </w:rPr>
        <w:t>万元、卫生健康支出</w:t>
      </w:r>
      <w:r>
        <w:rPr>
          <w:rFonts w:hint="eastAsia" w:ascii="仿宋_GB2312" w:eastAsia="仿宋_GB2312"/>
          <w:color w:val="000000"/>
          <w:sz w:val="32"/>
          <w:szCs w:val="32"/>
          <w:lang w:val="en-US" w:eastAsia="zh-CN"/>
        </w:rPr>
        <w:t>11.05</w:t>
      </w:r>
      <w:r>
        <w:rPr>
          <w:rFonts w:hint="eastAsia" w:ascii="仿宋_GB2312" w:eastAsia="仿宋_GB2312"/>
          <w:color w:val="000000"/>
          <w:sz w:val="32"/>
          <w:szCs w:val="32"/>
        </w:rPr>
        <w:t>万元。</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2.按支出用途分类，包括人员支出196.34万元，占50.5%；日常公用支出19.73万元，占5.1%；项目支出172.44万元，占44.4%。</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年终结转结余0.00万元。</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（四）关于丽水市养老服务指导中心</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财政拨款收支预算情况的总体说明</w:t>
      </w:r>
    </w:p>
    <w:p>
      <w:pPr>
        <w:spacing w:line="520" w:lineRule="exact"/>
        <w:ind w:firstLine="640"/>
        <w:rPr>
          <w:rFonts w:hint="eastAsia" w:ascii="仿宋_GB2312" w:eastAsia="仿宋_GB2312"/>
          <w:color w:val="000000"/>
          <w:sz w:val="32"/>
          <w:szCs w:val="32"/>
          <w:lang w:eastAsia="zh-CN"/>
        </w:rPr>
      </w:pPr>
      <w:r>
        <w:rPr>
          <w:rFonts w:hint="eastAsia" w:ascii="仿宋_GB2312" w:eastAsia="仿宋_GB2312"/>
          <w:color w:val="000000"/>
          <w:sz w:val="32"/>
          <w:szCs w:val="32"/>
        </w:rPr>
        <w:t>丽水市养老服务指导中心</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财政拨款收支总预算388.51万元。收入包括：一般公共预算388.51万元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支出包括：社会保障和就业支出</w:t>
      </w:r>
      <w:r>
        <w:rPr>
          <w:rFonts w:hint="eastAsia" w:ascii="仿宋_GB2312" w:eastAsia="仿宋_GB2312"/>
          <w:color w:val="000000"/>
          <w:sz w:val="32"/>
          <w:szCs w:val="32"/>
          <w:lang w:val="en-US" w:eastAsia="zh-CN"/>
        </w:rPr>
        <w:t>377.45</w:t>
      </w:r>
      <w:r>
        <w:rPr>
          <w:rFonts w:hint="eastAsia" w:ascii="仿宋_GB2312" w:eastAsia="仿宋_GB2312"/>
          <w:color w:val="000000"/>
          <w:sz w:val="32"/>
          <w:szCs w:val="32"/>
        </w:rPr>
        <w:t>万元、卫生健康支出</w:t>
      </w:r>
      <w:r>
        <w:rPr>
          <w:rFonts w:hint="eastAsia" w:ascii="仿宋_GB2312" w:eastAsia="仿宋_GB2312"/>
          <w:color w:val="000000"/>
          <w:sz w:val="32"/>
          <w:szCs w:val="32"/>
          <w:lang w:val="en-US" w:eastAsia="zh-CN"/>
        </w:rPr>
        <w:t>11.05</w:t>
      </w:r>
      <w:r>
        <w:rPr>
          <w:rFonts w:hint="eastAsia" w:ascii="仿宋_GB2312" w:eastAsia="仿宋_GB2312"/>
          <w:color w:val="000000"/>
          <w:sz w:val="32"/>
          <w:szCs w:val="32"/>
        </w:rPr>
        <w:t>万元。</w:t>
      </w:r>
    </w:p>
    <w:p>
      <w:pPr>
        <w:numPr>
          <w:ilvl w:val="0"/>
          <w:numId w:val="1"/>
        </w:numPr>
        <w:spacing w:line="520" w:lineRule="exact"/>
        <w:ind w:firstLine="640"/>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关于丽水市养老服务指导中心</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一般公共预算拨款情况说明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1.一般公共预算拨款规模变化情况。</w:t>
      </w:r>
    </w:p>
    <w:p>
      <w:pPr>
        <w:spacing w:line="520" w:lineRule="exact"/>
        <w:ind w:firstLine="642"/>
        <w:rPr>
          <w:rFonts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丽水市养老服务指导中心</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一般公共预算拨款</w:t>
      </w:r>
      <w:r>
        <w:rPr>
          <w:rFonts w:hint="eastAsia" w:ascii="仿宋_GB2312" w:hAnsi="仿宋_GB2312" w:eastAsia="仿宋_GB2312" w:cs="仿宋_GB2312"/>
          <w:bCs/>
          <w:color w:val="000000"/>
          <w:sz w:val="32"/>
          <w:szCs w:val="32"/>
          <w:highlight w:val="none"/>
        </w:rPr>
        <w:t>388.51</w:t>
      </w:r>
      <w:r>
        <w:rPr>
          <w:rFonts w:hint="eastAsia" w:ascii="仿宋_GB2312" w:hAnsi="仿宋_GB2312" w:eastAsia="仿宋_GB2312" w:cs="仿宋_GB2312"/>
          <w:color w:val="000000"/>
          <w:sz w:val="32"/>
          <w:szCs w:val="32"/>
          <w:highlight w:val="none"/>
        </w:rPr>
        <w:t>万元，比上年执行数增加</w:t>
      </w:r>
      <w:r>
        <w:rPr>
          <w:rFonts w:hint="eastAsia" w:ascii="仿宋_GB2312" w:hAnsi="仿宋_GB2312" w:eastAsia="仿宋_GB2312" w:cs="仿宋_GB2312"/>
          <w:color w:val="000000"/>
          <w:sz w:val="32"/>
          <w:szCs w:val="32"/>
          <w:highlight w:val="none"/>
          <w:lang w:val="en-US" w:eastAsia="zh-CN"/>
        </w:rPr>
        <w:t>1.77</w:t>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highlight w:val="none"/>
        </w:rPr>
        <w:t>增长</w:t>
      </w:r>
      <w:r>
        <w:rPr>
          <w:rFonts w:hint="eastAsia" w:ascii="仿宋_GB2312" w:hAnsi="仿宋_GB2312" w:eastAsia="仿宋_GB2312" w:cs="仿宋_GB2312"/>
          <w:color w:val="000000"/>
          <w:sz w:val="32"/>
          <w:szCs w:val="32"/>
          <w:highlight w:val="none"/>
          <w:lang w:val="en-US" w:eastAsia="zh-CN"/>
        </w:rPr>
        <w:t>0.46</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szCs w:val="32"/>
          <w:highlight w:val="none"/>
        </w:rPr>
        <w:t>主要是</w:t>
      </w:r>
      <w:r>
        <w:rPr>
          <w:rFonts w:hint="eastAsia" w:ascii="仿宋_GB2312" w:hAnsi="仿宋_GB2312" w:eastAsia="仿宋_GB2312" w:cs="仿宋_GB2312"/>
          <w:color w:val="000000"/>
          <w:sz w:val="32"/>
          <w:szCs w:val="32"/>
          <w:highlight w:val="none"/>
          <w:lang w:eastAsia="zh-CN"/>
        </w:rPr>
        <w:t>人员经费增加</w:t>
      </w:r>
      <w:r>
        <w:rPr>
          <w:rFonts w:hint="eastAsia" w:ascii="仿宋_GB2312" w:hAnsi="仿宋_GB2312" w:eastAsia="仿宋_GB2312" w:cs="仿宋_GB2312"/>
          <w:color w:val="000000"/>
          <w:sz w:val="32"/>
          <w:szCs w:val="32"/>
          <w:highlight w:val="none"/>
        </w:rPr>
        <w:t>。</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2.一般公共预算拨款结构情况。</w:t>
      </w:r>
    </w:p>
    <w:p>
      <w:pPr>
        <w:spacing w:line="520" w:lineRule="exact"/>
        <w:ind w:firstLine="642"/>
        <w:rPr>
          <w:rFonts w:hint="eastAsia" w:ascii="仿宋_GB2312" w:hAnsi="仿宋_GB2312" w:eastAsia="仿宋_GB2312" w:cs="仿宋_GB2312"/>
          <w:b/>
          <w:color w:val="000000"/>
          <w:sz w:val="32"/>
          <w:szCs w:val="32"/>
          <w:lang w:eastAsia="zh-CN"/>
        </w:rPr>
      </w:pPr>
      <w:r>
        <w:rPr>
          <w:rFonts w:hint="eastAsia" w:ascii="仿宋_GB2312" w:hAnsi="仿宋_GB2312" w:eastAsia="仿宋_GB2312" w:cs="仿宋_GB2312"/>
          <w:color w:val="000000"/>
          <w:sz w:val="32"/>
          <w:szCs w:val="32"/>
        </w:rPr>
        <w:t>社会保障和就业支出377.45万元，占97.2%；卫生健康支出11.05万元，占2.8%</w:t>
      </w:r>
      <w:r>
        <w:rPr>
          <w:rFonts w:hint="eastAsia" w:ascii="仿宋_GB2312" w:hAnsi="仿宋_GB2312" w:eastAsia="仿宋_GB2312" w:cs="仿宋_GB2312"/>
          <w:color w:val="000000"/>
          <w:sz w:val="32"/>
          <w:szCs w:val="32"/>
          <w:lang w:eastAsia="zh-CN"/>
        </w:rPr>
        <w:t>。</w:t>
      </w:r>
    </w:p>
    <w:p>
      <w:pPr>
        <w:numPr>
          <w:ilvl w:val="0"/>
          <w:numId w:val="0"/>
        </w:numPr>
        <w:spacing w:line="520" w:lineRule="exact"/>
        <w:ind w:firstLine="643" w:firstLineChars="20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val="en-US" w:eastAsia="zh-CN"/>
        </w:rPr>
        <w:t>3.</w:t>
      </w:r>
      <w:r>
        <w:rPr>
          <w:rFonts w:hint="eastAsia" w:ascii="仿宋_GB2312" w:hAnsi="仿宋_GB2312" w:eastAsia="仿宋_GB2312" w:cs="仿宋_GB2312"/>
          <w:b/>
          <w:color w:val="000000"/>
          <w:sz w:val="32"/>
          <w:szCs w:val="32"/>
        </w:rPr>
        <w:t>一般公共预算拨款具体使用情况。</w:t>
      </w:r>
    </w:p>
    <w:p>
      <w:pPr>
        <w:spacing w:line="52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（1）社会保障和就业支出（类）民政管理事务（款）其他民政管理事务支出（项）</w:t>
      </w:r>
      <w:r>
        <w:rPr>
          <w:rFonts w:hint="eastAsia" w:ascii="仿宋_GB2312" w:hAnsi="仿宋_GB2312" w:eastAsia="仿宋_GB2312" w:cs="仿宋_GB2312"/>
          <w:color w:val="000000"/>
          <w:sz w:val="32"/>
          <w:szCs w:val="32"/>
          <w:lang w:val="en-US" w:eastAsia="zh-CN"/>
        </w:rPr>
        <w:t>19.73</w:t>
      </w:r>
      <w:r>
        <w:rPr>
          <w:rFonts w:hint="eastAsia" w:ascii="仿宋_GB2312" w:hAnsi="仿宋_GB2312" w:eastAsia="仿宋_GB2312" w:cs="仿宋_GB2312"/>
          <w:color w:val="000000"/>
          <w:sz w:val="32"/>
          <w:szCs w:val="32"/>
        </w:rPr>
        <w:t>万元，主要用于公用经费。</w:t>
      </w:r>
    </w:p>
    <w:p>
      <w:pPr>
        <w:spacing w:line="52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（2）社会保障和就业支出（类）民政管理事务（款）其他民政管理事务支出（项）1</w:t>
      </w:r>
      <w:r>
        <w:rPr>
          <w:rFonts w:hint="eastAsia" w:ascii="仿宋_GB2312" w:hAnsi="仿宋_GB2312" w:eastAsia="仿宋_GB2312" w:cs="仿宋_GB2312"/>
          <w:color w:val="000000"/>
          <w:sz w:val="32"/>
          <w:szCs w:val="32"/>
          <w:lang w:val="en-US" w:eastAsia="zh-CN"/>
        </w:rPr>
        <w:t>68.72</w:t>
      </w:r>
      <w:r>
        <w:rPr>
          <w:rFonts w:hint="eastAsia" w:ascii="仿宋_GB2312" w:hAnsi="仿宋_GB2312" w:eastAsia="仿宋_GB2312" w:cs="仿宋_GB2312"/>
          <w:color w:val="000000"/>
          <w:sz w:val="32"/>
          <w:szCs w:val="32"/>
        </w:rPr>
        <w:t>万元，主要用于</w:t>
      </w:r>
      <w:r>
        <w:rPr>
          <w:rFonts w:hint="eastAsia" w:ascii="仿宋_GB2312" w:hAnsi="仿宋_GB2312" w:eastAsia="仿宋_GB2312" w:cs="仿宋_GB2312"/>
          <w:color w:val="000000"/>
          <w:sz w:val="32"/>
          <w:szCs w:val="32"/>
          <w:lang w:eastAsia="zh-CN"/>
        </w:rPr>
        <w:t>工资福利</w:t>
      </w:r>
      <w:r>
        <w:rPr>
          <w:rFonts w:hint="eastAsia" w:ascii="仿宋_GB2312" w:hAnsi="仿宋_GB2312" w:eastAsia="仿宋_GB2312" w:cs="仿宋_GB2312"/>
          <w:color w:val="000000"/>
          <w:sz w:val="32"/>
          <w:szCs w:val="32"/>
        </w:rPr>
        <w:t>支出。</w:t>
      </w:r>
    </w:p>
    <w:p>
      <w:pPr>
        <w:spacing w:line="52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（3）社会保障和就业支出（类）行政事业单位养老支出（款）机关事业单位基本养老保险缴费支出（项）10.</w:t>
      </w:r>
      <w:r>
        <w:rPr>
          <w:rFonts w:hint="eastAsia" w:ascii="仿宋_GB2312" w:hAnsi="仿宋_GB2312" w:eastAsia="仿宋_GB2312" w:cs="仿宋_GB2312"/>
          <w:color w:val="000000"/>
          <w:sz w:val="32"/>
          <w:szCs w:val="32"/>
          <w:lang w:val="en-US" w:eastAsia="zh-CN"/>
        </w:rPr>
        <w:t>04</w:t>
      </w:r>
      <w:r>
        <w:rPr>
          <w:rFonts w:hint="eastAsia" w:ascii="仿宋_GB2312" w:hAnsi="仿宋_GB2312" w:eastAsia="仿宋_GB2312" w:cs="仿宋_GB2312"/>
          <w:color w:val="000000"/>
          <w:sz w:val="32"/>
          <w:szCs w:val="32"/>
        </w:rPr>
        <w:t>万元，主要用于机关事业单位基本养老保险缴费支出。</w:t>
      </w:r>
    </w:p>
    <w:p>
      <w:pPr>
        <w:spacing w:line="520" w:lineRule="exact"/>
        <w:ind w:firstLine="63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（4）社会保障和就业支出（类）行政事业单位养老支出（款）机关事业单位职业年金缴费支出（项）5.</w:t>
      </w:r>
      <w:r>
        <w:rPr>
          <w:rFonts w:hint="eastAsia" w:ascii="仿宋_GB2312" w:hAnsi="仿宋_GB2312" w:eastAsia="仿宋_GB2312" w:cs="仿宋_GB2312"/>
          <w:color w:val="000000"/>
          <w:sz w:val="32"/>
          <w:szCs w:val="32"/>
          <w:lang w:val="en-US" w:eastAsia="zh-CN"/>
        </w:rPr>
        <w:t>02</w:t>
      </w:r>
      <w:r>
        <w:rPr>
          <w:rFonts w:hint="eastAsia" w:ascii="仿宋_GB2312" w:hAnsi="仿宋_GB2312" w:eastAsia="仿宋_GB2312" w:cs="仿宋_GB2312"/>
          <w:color w:val="000000"/>
          <w:sz w:val="32"/>
          <w:szCs w:val="32"/>
        </w:rPr>
        <w:t>万元，主要用于机关事业单位职业年金缴费支出。</w:t>
      </w:r>
    </w:p>
    <w:p>
      <w:pPr>
        <w:pStyle w:val="2"/>
        <w:ind w:firstLine="630"/>
        <w:rPr>
          <w:rFonts w:hint="default"/>
        </w:rPr>
      </w:pPr>
      <w:r>
        <w:rPr>
          <w:rFonts w:cs="仿宋_GB2312"/>
          <w:sz w:val="32"/>
          <w:szCs w:val="32"/>
        </w:rPr>
        <w:t>（5）社会保障和就业支出（类）社会福利（款）养老服务（项）172.44万元，主要用于大洋路146号房租。</w:t>
      </w:r>
    </w:p>
    <w:p>
      <w:pPr>
        <w:pStyle w:val="2"/>
        <w:rPr>
          <w:rFonts w:hint="default" w:cs="仿宋_GB2312"/>
          <w:sz w:val="32"/>
          <w:szCs w:val="32"/>
        </w:rPr>
      </w:pPr>
      <w:r>
        <w:t xml:space="preserve">     </w:t>
      </w:r>
      <w:r>
        <w:rPr>
          <w:rFonts w:cs="仿宋_GB2312"/>
          <w:sz w:val="32"/>
          <w:szCs w:val="32"/>
        </w:rPr>
        <w:t>（6）社会保障和就业支出（类）其他社会保障和就业支出（款）其他社会保障和就业支出（项）1.5</w:t>
      </w:r>
      <w:r>
        <w:rPr>
          <w:rFonts w:hint="eastAsia" w:cs="仿宋_GB2312"/>
          <w:sz w:val="32"/>
          <w:szCs w:val="32"/>
          <w:lang w:val="en-US" w:eastAsia="zh-CN"/>
        </w:rPr>
        <w:t>1</w:t>
      </w:r>
      <w:r>
        <w:rPr>
          <w:rFonts w:cs="仿宋_GB2312"/>
          <w:sz w:val="32"/>
          <w:szCs w:val="32"/>
        </w:rPr>
        <w:t>万元，主要用于其他社会保障和就业支出。</w:t>
      </w:r>
    </w:p>
    <w:p>
      <w:pPr>
        <w:spacing w:line="52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（7）卫生健康支出（类）行政事业单位医疗（款）事业单位医疗（项）11.05万元，主要用于事业单位医疗缴费。</w:t>
      </w:r>
    </w:p>
    <w:p>
      <w:pPr>
        <w:spacing w:line="520" w:lineRule="exact"/>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    （六）关于丽水市养老服务指导中心</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一般公共预算基本支出情况说明</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丽水市养老服务指导中心</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一般公共预算基本支出216.07万元，其中：</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人员</w:t>
      </w:r>
      <w:r>
        <w:rPr>
          <w:rFonts w:hint="eastAsia" w:ascii="仿宋_GB2312" w:eastAsia="仿宋_GB2312"/>
          <w:color w:val="000000"/>
          <w:sz w:val="32"/>
          <w:szCs w:val="32"/>
          <w:lang w:val="en-US" w:eastAsia="zh-CN"/>
        </w:rPr>
        <w:t>支出</w:t>
      </w:r>
      <w:r>
        <w:rPr>
          <w:rFonts w:hint="eastAsia" w:ascii="仿宋_GB2312" w:eastAsia="仿宋_GB2312"/>
          <w:color w:val="000000"/>
          <w:sz w:val="32"/>
          <w:szCs w:val="32"/>
        </w:rPr>
        <w:t>196.34万元，主要包括：基本工资、津贴补贴、奖金、绩效工资、机关事业单位基本养老保险缴费、职业年金缴费、职工基本医疗保险缴费、公务员医疗补助缴费、其他社会保障缴费、住房公积金、医疗费、其他工资福利支出、退休费、生活补助、医疗费补助、奖励金、其他对个人和家庭的补助</w:t>
      </w:r>
      <w:r>
        <w:rPr>
          <w:rFonts w:hint="eastAsia" w:ascii="仿宋_GB2312" w:eastAsia="仿宋_GB2312"/>
          <w:color w:val="000000"/>
          <w:sz w:val="32"/>
          <w:szCs w:val="32"/>
          <w:lang w:val="en-US" w:eastAsia="zh-CN"/>
        </w:rPr>
        <w:t>等。</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lang w:val="en-US" w:eastAsia="zh-CN"/>
        </w:rPr>
        <w:t>日常</w:t>
      </w:r>
      <w:r>
        <w:rPr>
          <w:rFonts w:hint="eastAsia" w:ascii="仿宋_GB2312" w:eastAsia="仿宋_GB2312"/>
          <w:color w:val="000000"/>
          <w:sz w:val="32"/>
          <w:szCs w:val="32"/>
        </w:rPr>
        <w:t>公用</w:t>
      </w:r>
      <w:r>
        <w:rPr>
          <w:rFonts w:hint="eastAsia" w:ascii="仿宋_GB2312" w:eastAsia="仿宋_GB2312"/>
          <w:color w:val="000000"/>
          <w:sz w:val="32"/>
          <w:szCs w:val="32"/>
          <w:lang w:val="en-US" w:eastAsia="zh-CN"/>
        </w:rPr>
        <w:t>支出</w:t>
      </w:r>
      <w:r>
        <w:rPr>
          <w:rFonts w:hint="eastAsia" w:ascii="仿宋_GB2312" w:eastAsia="仿宋_GB2312"/>
          <w:color w:val="000000"/>
          <w:sz w:val="32"/>
          <w:szCs w:val="32"/>
        </w:rPr>
        <w:t>19.73万元，主要包括：办公费、邮电费、物业管理费、差旅费、公务接待费、委托业务费、工会经费、福利费、税金及附加费用、其他商品和服务支出、办公设备购置</w:t>
      </w:r>
      <w:r>
        <w:rPr>
          <w:rFonts w:hint="eastAsia" w:ascii="仿宋_GB2312" w:eastAsia="仿宋_GB2312"/>
          <w:color w:val="000000"/>
          <w:sz w:val="32"/>
          <w:szCs w:val="32"/>
          <w:lang w:val="en-US" w:eastAsia="zh-CN"/>
        </w:rPr>
        <w:t>等</w:t>
      </w:r>
      <w:r>
        <w:rPr>
          <w:rFonts w:hint="eastAsia" w:ascii="仿宋_GB2312" w:eastAsia="仿宋_GB2312"/>
          <w:color w:val="000000"/>
          <w:sz w:val="32"/>
          <w:szCs w:val="32"/>
        </w:rPr>
        <w:t>。</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（七）关于丽水市养老服务指导中心</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政府性基金预算支出情况说明</w:t>
      </w:r>
    </w:p>
    <w:p>
      <w:pPr>
        <w:spacing w:line="520" w:lineRule="exact"/>
        <w:ind w:firstLine="640" w:firstLineChars="200"/>
        <w:rPr>
          <w:rFonts w:hint="eastAsia" w:eastAsia="仿宋_GB2312"/>
          <w:lang w:eastAsia="zh-CN"/>
        </w:rPr>
      </w:pPr>
      <w:r>
        <w:rPr>
          <w:rFonts w:hint="eastAsia" w:ascii="仿宋_GB2312" w:hAnsi="仿宋_GB2312" w:eastAsia="仿宋_GB2312" w:cs="仿宋_GB2312"/>
          <w:color w:val="000000"/>
          <w:sz w:val="32"/>
          <w:szCs w:val="32"/>
        </w:rPr>
        <w:t>丽水市养老服务指导中心</w:t>
      </w:r>
      <w:r>
        <w:rPr>
          <w:rFonts w:hint="eastAsia" w:ascii="仿宋_GB2312" w:hAnsi="仿宋_GB2312" w:eastAsia="仿宋_GB2312" w:cs="仿宋_GB2312"/>
          <w:color w:val="000000"/>
          <w:sz w:val="32"/>
          <w:szCs w:val="32"/>
          <w:lang w:eastAsia="zh-CN"/>
        </w:rPr>
        <w:t>2025年</w:t>
      </w:r>
      <w:r>
        <w:rPr>
          <w:rFonts w:hint="eastAsia" w:ascii="仿宋_GB2312" w:hAnsi="仿宋_GB2312" w:eastAsia="仿宋_GB2312" w:cs="仿宋_GB2312"/>
          <w:color w:val="000000"/>
          <w:sz w:val="32"/>
          <w:szCs w:val="32"/>
        </w:rPr>
        <w:t>没有使用政府性基金预算拨款安排的支出</w:t>
      </w:r>
      <w:r>
        <w:rPr>
          <w:rFonts w:hint="eastAsia" w:ascii="仿宋_GB2312" w:eastAsia="仿宋_GB2312"/>
          <w:color w:val="000000"/>
          <w:sz w:val="32"/>
          <w:szCs w:val="32"/>
        </w:rPr>
        <w:t>，与上年持平</w:t>
      </w:r>
      <w:r>
        <w:rPr>
          <w:rFonts w:hint="eastAsia" w:ascii="仿宋_GB2312" w:eastAsia="仿宋_GB2312"/>
          <w:color w:val="000000"/>
          <w:sz w:val="32"/>
          <w:szCs w:val="32"/>
          <w:lang w:eastAsia="zh-CN"/>
        </w:rPr>
        <w:t>。</w:t>
      </w:r>
    </w:p>
    <w:p>
      <w:pPr>
        <w:spacing w:line="520" w:lineRule="exact"/>
        <w:ind w:firstLine="627" w:firstLineChars="196"/>
        <w:rPr>
          <w:rFonts w:ascii="楷体_GB2312" w:hAnsi="楷体_GB2312" w:eastAsia="楷体_GB2312" w:cs="楷体_GB2312"/>
          <w:bCs/>
          <w:color w:val="000000"/>
          <w:sz w:val="32"/>
          <w:szCs w:val="32"/>
          <w:highlight w:val="none"/>
        </w:rPr>
      </w:pPr>
      <w:r>
        <w:rPr>
          <w:rFonts w:hint="eastAsia" w:ascii="楷体_GB2312" w:hAnsi="楷体_GB2312" w:eastAsia="楷体_GB2312" w:cs="楷体_GB2312"/>
          <w:bCs/>
          <w:color w:val="000000"/>
          <w:sz w:val="32"/>
          <w:szCs w:val="32"/>
          <w:highlight w:val="none"/>
        </w:rPr>
        <w:t>（八）关于</w:t>
      </w:r>
      <w:r>
        <w:rPr>
          <w:rFonts w:ascii="楷体_GB2312" w:hAnsi="楷体_GB2312" w:eastAsia="楷体_GB2312" w:cs="楷体_GB2312"/>
          <w:bCs/>
          <w:color w:val="000000"/>
          <w:sz w:val="32"/>
          <w:szCs w:val="32"/>
          <w:highlight w:val="none"/>
        </w:rPr>
        <w:t>丽水市养老服务指导中心</w:t>
      </w:r>
      <w:r>
        <w:rPr>
          <w:rFonts w:hint="eastAsia" w:ascii="楷体_GB2312" w:hAnsi="楷体_GB2312" w:eastAsia="楷体_GB2312" w:cs="楷体_GB2312"/>
          <w:bCs/>
          <w:color w:val="000000"/>
          <w:sz w:val="32"/>
          <w:szCs w:val="32"/>
          <w:highlight w:val="none"/>
          <w:lang w:eastAsia="zh-CN"/>
        </w:rPr>
        <w:t>2025年</w:t>
      </w:r>
      <w:r>
        <w:rPr>
          <w:rFonts w:hint="eastAsia" w:ascii="楷体_GB2312" w:hAnsi="楷体_GB2312" w:eastAsia="楷体_GB2312" w:cs="楷体_GB2312"/>
          <w:bCs/>
          <w:color w:val="000000"/>
          <w:sz w:val="32"/>
          <w:szCs w:val="32"/>
          <w:highlight w:val="none"/>
        </w:rPr>
        <w:t>国有资本经营预算支出情况说明</w:t>
      </w:r>
    </w:p>
    <w:p>
      <w:pPr>
        <w:spacing w:line="520" w:lineRule="exact"/>
        <w:ind w:firstLine="640" w:firstLineChars="200"/>
        <w:rPr>
          <w:rFonts w:hint="eastAsia" w:eastAsia="仿宋_GB2312"/>
          <w:b/>
          <w:sz w:val="20"/>
          <w:highlight w:val="none"/>
          <w:lang w:eastAsia="zh-CN"/>
        </w:rPr>
      </w:pPr>
      <w:r>
        <w:rPr>
          <w:rFonts w:hint="eastAsia" w:ascii="仿宋_GB2312" w:hAnsi="仿宋_GB2312" w:eastAsia="仿宋_GB2312" w:cs="仿宋_GB2312"/>
          <w:color w:val="000000"/>
          <w:sz w:val="32"/>
          <w:szCs w:val="32"/>
          <w:highlight w:val="none"/>
        </w:rPr>
        <w:t>丽水市养老服务指导中心</w:t>
      </w:r>
      <w:r>
        <w:rPr>
          <w:rFonts w:hint="eastAsia" w:ascii="仿宋_GB2312" w:hAnsi="仿宋_GB2312" w:eastAsia="仿宋_GB2312" w:cs="仿宋_GB2312"/>
          <w:color w:val="000000"/>
          <w:sz w:val="32"/>
          <w:szCs w:val="32"/>
          <w:highlight w:val="none"/>
          <w:lang w:eastAsia="zh-CN"/>
        </w:rPr>
        <w:t>2025年</w:t>
      </w:r>
      <w:r>
        <w:rPr>
          <w:rFonts w:hint="eastAsia" w:ascii="仿宋_GB2312" w:hAnsi="仿宋_GB2312" w:eastAsia="仿宋_GB2312" w:cs="仿宋_GB2312"/>
          <w:color w:val="000000"/>
          <w:sz w:val="32"/>
          <w:szCs w:val="32"/>
          <w:highlight w:val="none"/>
        </w:rPr>
        <w:t>没有使用国有资本经营预算拨款安排的支出，与上年持平</w:t>
      </w:r>
      <w:r>
        <w:rPr>
          <w:rFonts w:hint="eastAsia" w:ascii="仿宋_GB2312" w:hAnsi="仿宋_GB2312" w:eastAsia="仿宋_GB2312" w:cs="仿宋_GB2312"/>
          <w:color w:val="000000"/>
          <w:sz w:val="32"/>
          <w:szCs w:val="32"/>
          <w:highlight w:val="none"/>
          <w:lang w:eastAsia="zh-CN"/>
        </w:rPr>
        <w:t>。</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highlight w:val="none"/>
        </w:rPr>
        <w:t>（九）关于丽水市养老服务指导中心</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sz w:val="32"/>
          <w:szCs w:val="32"/>
        </w:rPr>
        <w:t>一般公共预算</w:t>
      </w:r>
      <w:r>
        <w:rPr>
          <w:rFonts w:hint="eastAsia" w:ascii="楷体_GB2312" w:hAnsi="楷体_GB2312" w:eastAsia="楷体_GB2312" w:cs="楷体_GB2312"/>
          <w:bCs/>
          <w:color w:val="000000"/>
          <w:sz w:val="32"/>
          <w:szCs w:val="32"/>
        </w:rPr>
        <w:t>“三公”经费预算情况说明</w:t>
      </w:r>
    </w:p>
    <w:p>
      <w:pPr>
        <w:spacing w:line="520" w:lineRule="exact"/>
        <w:ind w:firstLine="640" w:firstLineChars="200"/>
        <w:rPr>
          <w:rFonts w:hint="eastAsia" w:ascii="仿宋_GB2312" w:hAnsi="仿宋_GB2312" w:eastAsia="仿宋_GB2312"/>
          <w:sz w:val="32"/>
          <w:shd w:val="clear" w:color="auto" w:fill="FFFFFF"/>
          <w:lang w:eastAsia="zh-CN"/>
        </w:rPr>
      </w:pPr>
      <w:r>
        <w:rPr>
          <w:rFonts w:hint="eastAsia" w:ascii="仿宋_GB2312" w:hAnsi="仿宋_GB2312" w:eastAsia="仿宋_GB2312"/>
          <w:sz w:val="32"/>
        </w:rPr>
        <w:t>丽水市养老服务指导中心</w:t>
      </w:r>
      <w:r>
        <w:rPr>
          <w:rFonts w:hint="eastAsia" w:ascii="仿宋_GB2312" w:hAnsi="仿宋_GB2312" w:eastAsia="仿宋_GB2312"/>
          <w:sz w:val="32"/>
          <w:lang w:eastAsia="zh-CN"/>
        </w:rPr>
        <w:t>2025年</w:t>
      </w:r>
      <w:r>
        <w:rPr>
          <w:rFonts w:hint="eastAsia" w:ascii="仿宋_GB2312" w:hAnsi="仿宋_GB2312" w:eastAsia="仿宋_GB2312"/>
          <w:sz w:val="32"/>
        </w:rPr>
        <w:t>“三公”经费预算数为0.57万元，</w:t>
      </w:r>
      <w:r>
        <w:rPr>
          <w:rFonts w:hint="eastAsia" w:ascii="仿宋_GB2312" w:hAnsi="仿宋_GB2312" w:eastAsia="仿宋_GB2312"/>
          <w:sz w:val="32"/>
          <w:shd w:val="clear" w:color="auto" w:fill="FFFFFF"/>
          <w:lang w:eastAsia="zh-CN"/>
        </w:rPr>
        <w:t>与上年持平。</w:t>
      </w:r>
    </w:p>
    <w:p>
      <w:pPr>
        <w:spacing w:line="520" w:lineRule="exact"/>
        <w:ind w:firstLine="640" w:firstLineChars="200"/>
        <w:rPr>
          <w:rFonts w:ascii="仿宋_GB2312" w:hAnsi="仿宋_GB2312" w:eastAsia="仿宋_GB2312"/>
          <w:sz w:val="32"/>
        </w:rPr>
      </w:pPr>
      <w:r>
        <w:rPr>
          <w:rFonts w:hint="eastAsia" w:ascii="仿宋_GB2312" w:hAnsi="仿宋_GB2312" w:eastAsia="仿宋_GB2312"/>
          <w:sz w:val="32"/>
        </w:rPr>
        <w:t>具体如下：</w:t>
      </w:r>
    </w:p>
    <w:p>
      <w:pPr>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1.因公出国（境）费用：</w:t>
      </w:r>
      <w:r>
        <w:rPr>
          <w:rFonts w:hint="eastAsia" w:ascii="仿宋_GB2312" w:hAnsi="仿宋_GB2312" w:eastAsia="仿宋_GB2312" w:cs="仿宋_GB2312"/>
          <w:sz w:val="32"/>
          <w:szCs w:val="32"/>
        </w:rPr>
        <w:t>根据因公出国计划和实际工作需要，</w:t>
      </w:r>
      <w:r>
        <w:rPr>
          <w:rFonts w:hint="eastAsia" w:ascii="仿宋_GB2312" w:hAnsi="仿宋_GB2312" w:eastAsia="仿宋_GB2312" w:cs="仿宋_GB2312"/>
          <w:sz w:val="32"/>
          <w:szCs w:val="32"/>
          <w:lang w:eastAsia="zh-CN"/>
        </w:rPr>
        <w:t>2025年</w:t>
      </w:r>
      <w:r>
        <w:rPr>
          <w:rFonts w:hint="eastAsia" w:ascii="仿宋_GB2312" w:hAnsi="仿宋_GB2312" w:eastAsia="仿宋_GB2312" w:cs="仿宋_GB2312"/>
          <w:sz w:val="32"/>
          <w:szCs w:val="32"/>
        </w:rPr>
        <w:t>安排因公出国（境）费用预算0.00万元，</w:t>
      </w:r>
      <w:r>
        <w:rPr>
          <w:rFonts w:hint="eastAsia" w:ascii="仿宋_GB2312" w:hAnsi="仿宋_GB2312" w:eastAsia="仿宋_GB2312"/>
          <w:sz w:val="32"/>
          <w:shd w:val="clear" w:color="auto" w:fill="FFFFFF"/>
          <w:lang w:eastAsia="zh-CN"/>
        </w:rPr>
        <w:t>与上年持平。主要原因是：202</w:t>
      </w:r>
      <w:r>
        <w:rPr>
          <w:rFonts w:hint="eastAsia" w:ascii="仿宋_GB2312" w:hAnsi="仿宋_GB2312" w:eastAsia="仿宋_GB2312"/>
          <w:sz w:val="32"/>
          <w:shd w:val="clear" w:color="auto" w:fill="FFFFFF"/>
          <w:lang w:val="en-US" w:eastAsia="zh-CN"/>
        </w:rPr>
        <w:t>5</w:t>
      </w:r>
      <w:r>
        <w:rPr>
          <w:rFonts w:hint="eastAsia" w:ascii="仿宋_GB2312" w:hAnsi="仿宋_GB2312" w:eastAsia="仿宋_GB2312"/>
          <w:sz w:val="32"/>
          <w:shd w:val="clear" w:color="auto" w:fill="FFFFFF"/>
          <w:lang w:eastAsia="zh-CN"/>
        </w:rPr>
        <w:t>年因公出国（境）预算由财政统留管理，未编列到年初部门预算中。根据市外办安排的因公出国计划和实际工作需要，经批准同意因公出国（境）的，所需指标由财政按实追加部门年度“三公”经费预算额度。主要用于预算单位人员等公务出国（境）的国际旅费、国外城市间交通费、住宿费、伙食费、培训费、公杂费等支出。</w:t>
      </w:r>
    </w:p>
    <w:p>
      <w:pPr>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2.公务接待费：</w:t>
      </w:r>
      <w:r>
        <w:rPr>
          <w:rFonts w:hint="eastAsia" w:ascii="仿宋_GB2312" w:hAnsi="仿宋_GB2312" w:eastAsia="仿宋_GB2312" w:cs="仿宋_GB2312"/>
          <w:sz w:val="32"/>
          <w:szCs w:val="32"/>
          <w:lang w:eastAsia="zh-CN"/>
        </w:rPr>
        <w:t>2025年</w:t>
      </w:r>
      <w:r>
        <w:rPr>
          <w:rFonts w:hint="eastAsia" w:ascii="仿宋_GB2312" w:hAnsi="仿宋_GB2312" w:eastAsia="仿宋_GB2312" w:cs="仿宋_GB2312"/>
          <w:sz w:val="32"/>
          <w:szCs w:val="32"/>
        </w:rPr>
        <w:t>安排公务接待费预算0.57万元，</w:t>
      </w:r>
      <w:r>
        <w:rPr>
          <w:rFonts w:hint="eastAsia" w:ascii="仿宋_GB2312" w:hAnsi="仿宋_GB2312" w:eastAsia="仿宋_GB2312"/>
          <w:sz w:val="32"/>
          <w:shd w:val="clear" w:color="auto" w:fill="FFFFFF"/>
          <w:lang w:eastAsia="zh-CN"/>
        </w:rPr>
        <w:t>与上年持平，主要用于丽水市养老服务指导中心各项公务活动接待等支出。</w:t>
      </w:r>
    </w:p>
    <w:p>
      <w:pPr>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sz w:val="32"/>
          <w:shd w:val="clear" w:color="auto" w:fill="FFFFFF"/>
          <w:lang w:eastAsia="zh-CN"/>
        </w:rPr>
        <w:t>3.公务用车购置及运行维护费：2025年安排公务用车购置及运行维护费预算0.00万元，比上年预算数持平。其中，公务用车购置支出0.00万元（含购置税等附加费用），主要用于经批准购置的0辆公务用车，与比上年预算数持平；公务用车运行维护费支出0.00万元，主要用于公务用车燃料费、维修费、过桥过路费、保险费、安全奖励费用等支出。与上年预算数持平。</w:t>
      </w: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4"/>
        <w:spacing w:line="520" w:lineRule="exact"/>
        <w:ind w:firstLine="643" w:firstLineChars="200"/>
        <w:rPr>
          <w:rFonts w:ascii="仿宋_GB2312" w:eastAsia="仿宋_GB2312"/>
          <w:b/>
          <w:bCs/>
          <w:sz w:val="32"/>
          <w:szCs w:val="32"/>
        </w:rPr>
      </w:pPr>
      <w:r>
        <w:rPr>
          <w:rFonts w:hint="eastAsia" w:ascii="仿宋_GB2312" w:hAnsi="仿宋_GB2312" w:eastAsia="仿宋_GB2312" w:cs="仿宋_GB2312"/>
          <w:b/>
          <w:color w:val="000000"/>
          <w:sz w:val="32"/>
          <w:szCs w:val="32"/>
        </w:rPr>
        <w:t>1.</w:t>
      </w:r>
      <w:r>
        <w:rPr>
          <w:rFonts w:hint="eastAsia" w:ascii="仿宋_GB2312" w:eastAsia="仿宋_GB2312"/>
          <w:b/>
          <w:bCs/>
          <w:sz w:val="32"/>
          <w:szCs w:val="32"/>
        </w:rPr>
        <w:t>政府采购情况。</w:t>
      </w:r>
    </w:p>
    <w:p>
      <w:pPr>
        <w:pStyle w:val="14"/>
        <w:spacing w:line="520" w:lineRule="exact"/>
        <w:ind w:firstLine="640" w:firstLineChars="200"/>
        <w:rPr>
          <w:rFonts w:ascii="仿宋_GB2312" w:eastAsia="仿宋_GB2312"/>
          <w:sz w:val="32"/>
          <w:szCs w:val="32"/>
        </w:rPr>
      </w:pPr>
      <w:r>
        <w:rPr>
          <w:rFonts w:hint="eastAsia" w:ascii="仿宋_GB2312" w:eastAsia="仿宋_GB2312"/>
          <w:sz w:val="32"/>
          <w:szCs w:val="32"/>
          <w:lang w:eastAsia="zh-CN"/>
        </w:rPr>
        <w:t>2025年</w:t>
      </w:r>
      <w:r>
        <w:rPr>
          <w:rFonts w:hint="eastAsia" w:ascii="仿宋_GB2312" w:eastAsia="仿宋_GB2312"/>
          <w:sz w:val="32"/>
          <w:szCs w:val="32"/>
        </w:rPr>
        <w:t>丽水市养老服务指导中心</w:t>
      </w:r>
      <w:r>
        <w:rPr>
          <w:rFonts w:hint="eastAsia" w:ascii="仿宋_GB2312" w:eastAsia="仿宋_GB2312"/>
          <w:color w:val="000000"/>
          <w:sz w:val="32"/>
          <w:szCs w:val="32"/>
        </w:rPr>
        <w:t>各单位政府采购预算总额</w:t>
      </w:r>
      <w:r>
        <w:rPr>
          <w:rFonts w:hint="eastAsia" w:ascii="仿宋_GB2312" w:eastAsia="仿宋_GB2312"/>
          <w:color w:val="000000"/>
          <w:sz w:val="32"/>
          <w:szCs w:val="32"/>
          <w:lang w:val="en-US" w:eastAsia="zh-CN"/>
        </w:rPr>
        <w:t>0.99</w:t>
      </w:r>
      <w:r>
        <w:rPr>
          <w:rFonts w:hint="eastAsia" w:ascii="仿宋_GB2312" w:eastAsia="仿宋_GB2312"/>
          <w:color w:val="000000"/>
          <w:sz w:val="32"/>
          <w:szCs w:val="32"/>
        </w:rPr>
        <w:t>万元，其中：政府采购货物预算0.00万元、政府采购工程预算0.00万元、政府采购服务预算</w:t>
      </w:r>
      <w:r>
        <w:rPr>
          <w:rFonts w:hint="eastAsia" w:ascii="仿宋_GB2312" w:eastAsia="仿宋_GB2312"/>
          <w:color w:val="000000"/>
          <w:sz w:val="32"/>
          <w:szCs w:val="32"/>
          <w:lang w:val="en-US" w:eastAsia="zh-CN"/>
        </w:rPr>
        <w:t>0.99</w:t>
      </w:r>
      <w:r>
        <w:rPr>
          <w:rFonts w:hint="eastAsia" w:ascii="仿宋_GB2312" w:eastAsia="仿宋_GB2312"/>
          <w:color w:val="000000"/>
          <w:sz w:val="32"/>
          <w:szCs w:val="32"/>
        </w:rPr>
        <w:t>万元。</w:t>
      </w:r>
    </w:p>
    <w:p>
      <w:pPr>
        <w:pStyle w:val="14"/>
        <w:spacing w:line="520" w:lineRule="exact"/>
        <w:ind w:firstLine="642"/>
        <w:rPr>
          <w:rFonts w:ascii="仿宋_GB2312" w:eastAsia="仿宋_GB2312"/>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.国有资产占有使用情况。</w:t>
      </w:r>
    </w:p>
    <w:p>
      <w:pPr>
        <w:pStyle w:val="14"/>
        <w:spacing w:line="520" w:lineRule="exact"/>
        <w:ind w:firstLine="643" w:firstLineChars="200"/>
        <w:rPr>
          <w:rFonts w:hint="eastAsia" w:ascii="仿宋_GB2312" w:eastAsia="仿宋_GB2312"/>
          <w:color w:val="000000"/>
          <w:sz w:val="32"/>
          <w:szCs w:val="32"/>
        </w:rPr>
      </w:pPr>
      <w:r>
        <w:rPr>
          <w:rFonts w:hint="eastAsia" w:ascii="仿宋_GB2312" w:eastAsia="仿宋_GB2312"/>
          <w:b/>
          <w:bCs/>
          <w:sz w:val="32"/>
          <w:szCs w:val="32"/>
        </w:rPr>
        <w:t xml:space="preserve"> </w:t>
      </w:r>
      <w:r>
        <w:rPr>
          <w:rFonts w:hint="eastAsia" w:ascii="仿宋_GB2312" w:eastAsia="仿宋_GB2312"/>
          <w:color w:val="000000"/>
          <w:sz w:val="32"/>
          <w:szCs w:val="32"/>
        </w:rPr>
        <w:t>截至2024年12月31日，所属单位共有车辆0辆，其中，应急保障用车0辆、老干部服务用车0辆、执法执勤用车0辆、特种专业技术用车0辆、行政执法专用车0辆。</w:t>
      </w:r>
      <w:r>
        <w:rPr>
          <w:rFonts w:hint="eastAsia" w:ascii="仿宋_GB2312" w:hAnsi="仿宋_GB2312" w:eastAsia="仿宋_GB2312" w:cs="仿宋_GB2312"/>
          <w:sz w:val="32"/>
          <w:szCs w:val="32"/>
        </w:rPr>
        <w:t>单位价值100万元以上设备0台（套）。</w:t>
      </w:r>
    </w:p>
    <w:p>
      <w:pPr>
        <w:pStyle w:val="14"/>
        <w:spacing w:line="520" w:lineRule="exact"/>
        <w:ind w:firstLine="640" w:firstLineChars="200"/>
        <w:rPr>
          <w:rFonts w:hint="eastAsia" w:ascii="仿宋_GB2312" w:eastAsia="仿宋_GB2312"/>
          <w:color w:val="000000"/>
          <w:sz w:val="32"/>
          <w:szCs w:val="32"/>
        </w:rPr>
      </w:pPr>
      <w:bookmarkStart w:id="0" w:name="_GoBack"/>
      <w:bookmarkEnd w:id="0"/>
      <w:r>
        <w:rPr>
          <w:rFonts w:hint="eastAsia" w:ascii="仿宋_GB2312" w:eastAsia="仿宋_GB2312"/>
          <w:color w:val="000000"/>
          <w:sz w:val="32"/>
          <w:szCs w:val="32"/>
        </w:rPr>
        <w:t>2024年单位预算未安排购置车辆、单位价值50万元以上通用设备及单位价值100万元以上专用设备。</w:t>
      </w:r>
    </w:p>
    <w:p>
      <w:pPr>
        <w:pStyle w:val="14"/>
        <w:spacing w:line="520" w:lineRule="exact"/>
        <w:rPr>
          <w:rFonts w:ascii="仿宋_GB2312" w:eastAsia="仿宋_GB2312"/>
          <w:b/>
          <w:bCs/>
          <w:sz w:val="32"/>
          <w:szCs w:val="32"/>
        </w:rPr>
      </w:pPr>
      <w:r>
        <w:rPr>
          <w:rFonts w:hint="eastAsia" w:ascii="仿宋_GB2312" w:eastAsia="仿宋_GB2312"/>
          <w:b/>
          <w:bCs/>
          <w:sz w:val="32"/>
          <w:szCs w:val="32"/>
        </w:rPr>
        <w:t xml:space="preserve"> </w:t>
      </w:r>
      <w:r>
        <w:rPr>
          <w:rFonts w:hint="eastAsia" w:ascii="仿宋_GB2312" w:eastAsia="仿宋_GB2312"/>
          <w:b/>
          <w:bCs/>
          <w:sz w:val="32"/>
          <w:szCs w:val="32"/>
          <w:lang w:val="en-US" w:eastAsia="zh-CN"/>
        </w:rPr>
        <w:t xml:space="preserve">   3</w:t>
      </w:r>
      <w:r>
        <w:rPr>
          <w:rFonts w:hint="eastAsia" w:ascii="仿宋_GB2312" w:eastAsia="仿宋_GB2312"/>
          <w:b/>
          <w:bCs/>
          <w:sz w:val="32"/>
          <w:szCs w:val="32"/>
        </w:rPr>
        <w:t>.预算绩效情况说明。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2025年</w:t>
      </w:r>
      <w:r>
        <w:rPr>
          <w:rFonts w:ascii="仿宋_GB2312" w:hAnsi="仿宋_GB2312" w:eastAsia="仿宋_GB2312" w:cs="仿宋_GB2312"/>
          <w:sz w:val="32"/>
          <w:szCs w:val="32"/>
        </w:rPr>
        <w:t>丽水市养老服务指导中心其他运转类项目和特定目标类项目均实行绩效目标管理，共计1个一级项目，涉及当年资金172.44万元。同时，将按照相关制度规定开展绩效自评。一级项目绩效目标表，详见“</w:t>
      </w:r>
      <w:r>
        <w:rPr>
          <w:rFonts w:hint="eastAsia" w:ascii="仿宋_GB2312" w:hAnsi="仿宋_GB2312" w:eastAsia="仿宋_GB2312" w:cs="仿宋_GB2312"/>
          <w:sz w:val="32"/>
          <w:szCs w:val="32"/>
        </w:rPr>
        <w:t>单位</w:t>
      </w:r>
      <w:r>
        <w:rPr>
          <w:rFonts w:ascii="仿宋_GB2312" w:hAnsi="仿宋_GB2312" w:eastAsia="仿宋_GB2312" w:cs="仿宋_GB2312"/>
          <w:sz w:val="32"/>
          <w:szCs w:val="32"/>
        </w:rPr>
        <w:t>项目支出绩效表”</w:t>
      </w:r>
      <w:r>
        <w:rPr>
          <w:rFonts w:hint="eastAsia" w:ascii="仿宋_GB2312" w:hAnsi="仿宋_GB2312" w:eastAsia="仿宋_GB2312" w:cs="仿宋_GB2312"/>
          <w:sz w:val="32"/>
          <w:szCs w:val="32"/>
        </w:rPr>
        <w:t>。</w:t>
      </w:r>
    </w:p>
    <w:p>
      <w:pPr>
        <w:pStyle w:val="14"/>
        <w:spacing w:line="520" w:lineRule="exact"/>
        <w:ind w:firstLine="640" w:firstLineChars="200"/>
        <w:rPr>
          <w:rFonts w:ascii="黑体" w:hAnsi="黑体" w:eastAsia="黑体" w:cs="黑体"/>
          <w:bCs/>
          <w:kern w:val="2"/>
          <w:sz w:val="32"/>
          <w:szCs w:val="32"/>
        </w:rPr>
      </w:pPr>
      <w:r>
        <w:rPr>
          <w:rFonts w:hint="eastAsia" w:ascii="黑体" w:hAnsi="黑体" w:eastAsia="黑体" w:cs="黑体"/>
          <w:bCs/>
          <w:kern w:val="2"/>
          <w:sz w:val="32"/>
          <w:szCs w:val="32"/>
        </w:rPr>
        <w:t>三、名词解释</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1.财政拨款收入：本级财政部门当年拨付的财政预算资金，包括一般公共预算财政拨款</w:t>
      </w:r>
      <w:r>
        <w:rPr>
          <w:rFonts w:hint="eastAsia" w:ascii="仿宋_GB2312" w:eastAsia="仿宋_GB2312"/>
          <w:color w:val="000000"/>
          <w:sz w:val="32"/>
          <w:szCs w:val="32"/>
        </w:rPr>
        <w:t>、</w:t>
      </w:r>
      <w:r>
        <w:rPr>
          <w:rFonts w:hint="eastAsia" w:ascii="仿宋_GB2312" w:hAnsi="仿宋_GB2312" w:eastAsia="仿宋_GB2312" w:cs="仿宋_GB2312"/>
          <w:sz w:val="32"/>
          <w:szCs w:val="32"/>
        </w:rPr>
        <w:t>政府性基金预算和国有资本经营预算财政拨款。</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其他收入：预算单位在“一般公共预算”“政府性基金预算”“国有资本经营预算”“财政专户管理资金”“事业收入”“事业单位经营收入”“上级补助收入”和“附属单位上缴收入”等之外取得的各项收入。</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.基本支出：是预算单位为保障其正常运转，完成日常工作任务所发生的支出，包括人员支出和日常公用支出。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.项目支出：是预算单位为完成其特定的行政工作任务或事业发展目标所发生的支出。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.“三公”经费：纳入财政预决算管理的“三公”经费，是指部门用一般公共预算财政拨款安排的因公出国（境）费</w:t>
      </w:r>
      <w:r>
        <w:rPr>
          <w:rFonts w:hint="eastAsia" w:ascii="仿宋_GB2312" w:hAnsi="仿宋_GB2312" w:eastAsia="仿宋_GB2312" w:cs="仿宋_GB2312"/>
          <w:sz w:val="32"/>
          <w:szCs w:val="32"/>
          <w:lang w:val="en-US" w:eastAsia="zh-CN"/>
        </w:rPr>
        <w:t>用</w:t>
      </w:r>
      <w:r>
        <w:rPr>
          <w:rFonts w:hint="eastAsia" w:ascii="仿宋_GB2312" w:hAnsi="仿宋_GB2312" w:eastAsia="仿宋_GB2312" w:cs="仿宋_GB2312"/>
          <w:sz w:val="32"/>
          <w:szCs w:val="32"/>
        </w:rPr>
        <w:t>、公务用车购置及运行费和公务接待费。其中，因公出国（境）费</w:t>
      </w:r>
      <w:r>
        <w:rPr>
          <w:rFonts w:hint="eastAsia" w:ascii="仿宋_GB2312" w:hAnsi="仿宋_GB2312" w:eastAsia="仿宋_GB2312" w:cs="仿宋_GB2312"/>
          <w:sz w:val="32"/>
          <w:szCs w:val="32"/>
          <w:lang w:val="en-US" w:eastAsia="zh-CN"/>
        </w:rPr>
        <w:t>用</w:t>
      </w:r>
      <w:r>
        <w:rPr>
          <w:rFonts w:hint="eastAsia" w:ascii="仿宋_GB2312" w:hAnsi="仿宋_GB2312" w:eastAsia="仿宋_GB2312" w:cs="仿宋_GB2312"/>
          <w:sz w:val="32"/>
          <w:szCs w:val="32"/>
        </w:rPr>
        <w:t>反映单位公务出国（境）的国际旅费、国外城市间交通费、住宿费、伙食费、培训费、公杂费等支出，不含教学科研人员学术交流出国（境）费用；公务用车购置及运行费反映单位公务用车车辆购置支出（含车辆购置税）及燃料费、新能源汽车充电费、维修费、过桥过路费、保险费、安全奖励费用等支出；公务接待费反映单位按规定开支的各类公务接待（含外宾接待）支出。</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6</w:t>
      </w:r>
      <w:r>
        <w:rPr>
          <w:rFonts w:hint="eastAsia" w:ascii="仿宋_GB2312" w:hAnsi="宋体" w:eastAsia="仿宋_GB2312" w:cs="宋体"/>
          <w:b w:val="0"/>
          <w:bCs w:val="0"/>
          <w:color w:val="000000"/>
          <w:kern w:val="0"/>
          <w:sz w:val="32"/>
          <w:szCs w:val="32"/>
        </w:rPr>
        <w:t>．社会保障和就业支出（类）-行政事业单位养老支出（款）-机关事业单位基本养老保险缴费支出（项）：指反映机关事业单位实施养老保险制度由单位实施缴纳的基本养老保险费支出。</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7</w:t>
      </w:r>
      <w:r>
        <w:rPr>
          <w:rFonts w:hint="eastAsia" w:ascii="仿宋_GB2312" w:hAnsi="宋体" w:eastAsia="仿宋_GB2312" w:cs="宋体"/>
          <w:b w:val="0"/>
          <w:bCs w:val="0"/>
          <w:color w:val="000000"/>
          <w:kern w:val="0"/>
          <w:sz w:val="32"/>
          <w:szCs w:val="32"/>
        </w:rPr>
        <w:t>．社会保障和就业支出（类）-行政事业单位养老支出（款）-机关事业单位职业年金缴费支出（项）：指反映机关事业单位实施养老保险制度由单位实施缴纳的职业年金支出。</w:t>
      </w:r>
    </w:p>
    <w:p>
      <w:pPr>
        <w:spacing w:line="560" w:lineRule="exact"/>
        <w:ind w:firstLine="640" w:firstLineChars="200"/>
        <w:rPr>
          <w:rFonts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8</w:t>
      </w:r>
      <w:r>
        <w:rPr>
          <w:rFonts w:hint="eastAsia" w:ascii="仿宋_GB2312" w:hAnsi="宋体" w:eastAsia="仿宋_GB2312" w:cs="宋体"/>
          <w:b w:val="0"/>
          <w:bCs w:val="0"/>
          <w:color w:val="000000"/>
          <w:kern w:val="0"/>
          <w:sz w:val="32"/>
          <w:szCs w:val="32"/>
        </w:rPr>
        <w:t>．社会保障和就业支出（类）-临时救助（款）-流浪乞讨人员救助支出（项）：指用于生活无着流浪乞讨人员的救助支出和救助管理机构的运转支出。</w:t>
      </w:r>
    </w:p>
    <w:p>
      <w:pPr>
        <w:pStyle w:val="2"/>
        <w:ind w:firstLine="640" w:firstLineChars="200"/>
        <w:rPr>
          <w:rFonts w:hint="default"/>
          <w:b w:val="0"/>
          <w:bCs w:val="0"/>
        </w:rPr>
      </w:pPr>
      <w:r>
        <w:rPr>
          <w:rFonts w:hint="eastAsia" w:hAnsi="宋体" w:cs="宋体"/>
          <w:b w:val="0"/>
          <w:bCs w:val="0"/>
          <w:sz w:val="32"/>
          <w:szCs w:val="32"/>
          <w:lang w:val="en-US" w:eastAsia="zh-CN"/>
        </w:rPr>
        <w:t>9</w:t>
      </w:r>
      <w:r>
        <w:rPr>
          <w:rFonts w:hAnsi="宋体" w:cs="宋体"/>
          <w:b w:val="0"/>
          <w:bCs w:val="0"/>
          <w:sz w:val="32"/>
          <w:szCs w:val="32"/>
        </w:rPr>
        <w:t>．社会保障和就业支出（类）-其他社会保障和就业支出（款）-其他社会保障和就业支出（项）：指反映除上述项目以外其他用于社会保障和就业方面的支出。</w:t>
      </w:r>
    </w:p>
    <w:p>
      <w:pPr>
        <w:spacing w:line="560" w:lineRule="exact"/>
        <w:ind w:firstLine="640" w:firstLineChars="200"/>
        <w:rPr>
          <w:rFonts w:hint="eastAsia"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lang w:val="en-US" w:eastAsia="zh-CN"/>
        </w:rPr>
        <w:t>10</w:t>
      </w:r>
      <w:r>
        <w:rPr>
          <w:rFonts w:hint="eastAsia" w:ascii="仿宋_GB2312" w:hAnsi="宋体" w:eastAsia="仿宋_GB2312" w:cs="宋体"/>
          <w:b w:val="0"/>
          <w:bCs w:val="0"/>
          <w:color w:val="000000"/>
          <w:kern w:val="0"/>
          <w:sz w:val="32"/>
          <w:szCs w:val="32"/>
        </w:rPr>
        <w:t>．卫生健康支出（类）-行政事业单位医疗（款）-事业单位医疗（项）：指反映财政部门安排的事业单位基本医疗保险缴费经费，未参加医疗保险的行政单位的公费医疗经费，按国家规定标准享受离休人员待遇的医疗经费。</w:t>
      </w:r>
    </w:p>
    <w:p>
      <w:pPr>
        <w:spacing w:line="560" w:lineRule="exact"/>
        <w:ind w:firstLine="640" w:firstLineChars="200"/>
        <w:rPr>
          <w:rFonts w:hint="eastAsia" w:ascii="仿宋_GB2312" w:hAnsi="宋体" w:eastAsia="仿宋_GB2312" w:cs="宋体"/>
          <w:b w:val="0"/>
          <w:bCs w:val="0"/>
          <w:color w:val="000000"/>
          <w:kern w:val="0"/>
          <w:sz w:val="32"/>
          <w:szCs w:val="32"/>
        </w:rPr>
      </w:pPr>
      <w:r>
        <w:rPr>
          <w:rFonts w:hint="eastAsia" w:ascii="仿宋_GB2312" w:hAnsi="宋体" w:eastAsia="仿宋_GB2312" w:cs="宋体"/>
          <w:b w:val="0"/>
          <w:bCs w:val="0"/>
          <w:color w:val="000000"/>
          <w:kern w:val="0"/>
          <w:sz w:val="32"/>
          <w:szCs w:val="32"/>
        </w:rPr>
        <w:t>1</w:t>
      </w:r>
      <w:r>
        <w:rPr>
          <w:rFonts w:hint="eastAsia" w:ascii="仿宋_GB2312" w:hAnsi="宋体" w:eastAsia="仿宋_GB2312" w:cs="宋体"/>
          <w:b w:val="0"/>
          <w:bCs w:val="0"/>
          <w:color w:val="000000"/>
          <w:kern w:val="0"/>
          <w:sz w:val="32"/>
          <w:szCs w:val="32"/>
          <w:lang w:val="en-US" w:eastAsia="zh-CN"/>
        </w:rPr>
        <w:t>1</w:t>
      </w:r>
      <w:r>
        <w:rPr>
          <w:rFonts w:hint="eastAsia" w:ascii="仿宋_GB2312" w:hAnsi="宋体" w:eastAsia="仿宋_GB2312" w:cs="宋体"/>
          <w:b w:val="0"/>
          <w:bCs w:val="0"/>
          <w:color w:val="000000"/>
          <w:kern w:val="0"/>
          <w:sz w:val="32"/>
          <w:szCs w:val="32"/>
        </w:rPr>
        <w:t>．社会保障和就业支出（类）-</w:t>
      </w:r>
      <w:r>
        <w:rPr>
          <w:rFonts w:hint="eastAsia" w:ascii="仿宋_GB2312" w:hAnsi="仿宋_GB2312" w:eastAsia="仿宋_GB2312" w:cs="仿宋_GB2312"/>
          <w:b w:val="0"/>
          <w:bCs w:val="0"/>
          <w:color w:val="000000"/>
          <w:sz w:val="32"/>
          <w:szCs w:val="32"/>
        </w:rPr>
        <w:t>民政管理事务（款）-其他民政管理事务支出（项）：反映民政部门接待来访、法制建设、政策宣传方面的支出，经及开展社会救助、社会福利、养老服务、社会事务、信息化建设等方面的支出。</w:t>
      </w: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12"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5A99C"/>
    <w:multiLevelType w:val="singleLevel"/>
    <w:tmpl w:val="5895A99C"/>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53C"/>
    <w:rsid w:val="00037FBA"/>
    <w:rsid w:val="00084C3B"/>
    <w:rsid w:val="000F6704"/>
    <w:rsid w:val="0014553D"/>
    <w:rsid w:val="00151805"/>
    <w:rsid w:val="0018453C"/>
    <w:rsid w:val="001C6D6F"/>
    <w:rsid w:val="001D7273"/>
    <w:rsid w:val="001F186B"/>
    <w:rsid w:val="0025199F"/>
    <w:rsid w:val="00262BFB"/>
    <w:rsid w:val="002E190E"/>
    <w:rsid w:val="00312421"/>
    <w:rsid w:val="0034320B"/>
    <w:rsid w:val="0035041B"/>
    <w:rsid w:val="00352D79"/>
    <w:rsid w:val="003533AA"/>
    <w:rsid w:val="00372A55"/>
    <w:rsid w:val="003A54FF"/>
    <w:rsid w:val="003E68CE"/>
    <w:rsid w:val="004C1A7E"/>
    <w:rsid w:val="004E07B6"/>
    <w:rsid w:val="004F65D0"/>
    <w:rsid w:val="004F6D96"/>
    <w:rsid w:val="0054517F"/>
    <w:rsid w:val="0055355B"/>
    <w:rsid w:val="00576237"/>
    <w:rsid w:val="005B1AB5"/>
    <w:rsid w:val="005D0D77"/>
    <w:rsid w:val="005E0A27"/>
    <w:rsid w:val="005E47B3"/>
    <w:rsid w:val="005E7D52"/>
    <w:rsid w:val="00655F61"/>
    <w:rsid w:val="006B2E4F"/>
    <w:rsid w:val="006C39E2"/>
    <w:rsid w:val="006D5442"/>
    <w:rsid w:val="006D7FE3"/>
    <w:rsid w:val="006E085B"/>
    <w:rsid w:val="006F455E"/>
    <w:rsid w:val="007072D9"/>
    <w:rsid w:val="00731A0A"/>
    <w:rsid w:val="0073245A"/>
    <w:rsid w:val="00755A48"/>
    <w:rsid w:val="007715EF"/>
    <w:rsid w:val="007A0C65"/>
    <w:rsid w:val="007B431F"/>
    <w:rsid w:val="007D24B2"/>
    <w:rsid w:val="007E4CC3"/>
    <w:rsid w:val="00801E01"/>
    <w:rsid w:val="00823268"/>
    <w:rsid w:val="00834DDF"/>
    <w:rsid w:val="00850DC9"/>
    <w:rsid w:val="0089440C"/>
    <w:rsid w:val="00937AE8"/>
    <w:rsid w:val="009415A1"/>
    <w:rsid w:val="009427F2"/>
    <w:rsid w:val="009A7459"/>
    <w:rsid w:val="009B71E7"/>
    <w:rsid w:val="00A76362"/>
    <w:rsid w:val="00A86842"/>
    <w:rsid w:val="00AB2741"/>
    <w:rsid w:val="00B109C2"/>
    <w:rsid w:val="00B85FDA"/>
    <w:rsid w:val="00BA6311"/>
    <w:rsid w:val="00C35F38"/>
    <w:rsid w:val="00C35FDD"/>
    <w:rsid w:val="00C47BB8"/>
    <w:rsid w:val="00C50353"/>
    <w:rsid w:val="00C52D1F"/>
    <w:rsid w:val="00CC1B9F"/>
    <w:rsid w:val="00CE3F52"/>
    <w:rsid w:val="00D7617F"/>
    <w:rsid w:val="00D81B35"/>
    <w:rsid w:val="00DA4451"/>
    <w:rsid w:val="00DA6F5B"/>
    <w:rsid w:val="00DA7F84"/>
    <w:rsid w:val="00DF037C"/>
    <w:rsid w:val="00E16F71"/>
    <w:rsid w:val="00E20FB4"/>
    <w:rsid w:val="00E40834"/>
    <w:rsid w:val="00E429D8"/>
    <w:rsid w:val="00E44C58"/>
    <w:rsid w:val="00E61E40"/>
    <w:rsid w:val="00E925CD"/>
    <w:rsid w:val="00E95C9E"/>
    <w:rsid w:val="00ED0384"/>
    <w:rsid w:val="00F23B56"/>
    <w:rsid w:val="00F56A05"/>
    <w:rsid w:val="00F7116F"/>
    <w:rsid w:val="01405C62"/>
    <w:rsid w:val="01F263DB"/>
    <w:rsid w:val="01F648EB"/>
    <w:rsid w:val="024C6702"/>
    <w:rsid w:val="026505B4"/>
    <w:rsid w:val="028630A1"/>
    <w:rsid w:val="02FD4879"/>
    <w:rsid w:val="038C7FF1"/>
    <w:rsid w:val="03AA3E3B"/>
    <w:rsid w:val="03EA5C50"/>
    <w:rsid w:val="0458580D"/>
    <w:rsid w:val="04600135"/>
    <w:rsid w:val="05054F3D"/>
    <w:rsid w:val="05F46152"/>
    <w:rsid w:val="05F835B0"/>
    <w:rsid w:val="06113422"/>
    <w:rsid w:val="063B27DE"/>
    <w:rsid w:val="065E25EC"/>
    <w:rsid w:val="06835E42"/>
    <w:rsid w:val="06F965CB"/>
    <w:rsid w:val="07487AC1"/>
    <w:rsid w:val="07623DA7"/>
    <w:rsid w:val="081119C7"/>
    <w:rsid w:val="08DE4DFD"/>
    <w:rsid w:val="0A1D1E06"/>
    <w:rsid w:val="0A4C7CCD"/>
    <w:rsid w:val="0ABB6175"/>
    <w:rsid w:val="0B486D9D"/>
    <w:rsid w:val="0B4F52A1"/>
    <w:rsid w:val="0B652DFD"/>
    <w:rsid w:val="0B654246"/>
    <w:rsid w:val="0BD448F3"/>
    <w:rsid w:val="0BF20A59"/>
    <w:rsid w:val="0C7B7749"/>
    <w:rsid w:val="0CE2397A"/>
    <w:rsid w:val="0CEE5818"/>
    <w:rsid w:val="0DDF3EA9"/>
    <w:rsid w:val="0F0A0BC6"/>
    <w:rsid w:val="0F216C64"/>
    <w:rsid w:val="0F3E23E2"/>
    <w:rsid w:val="0F5C4EB1"/>
    <w:rsid w:val="0F760C96"/>
    <w:rsid w:val="0F8B51E9"/>
    <w:rsid w:val="0FEA06B3"/>
    <w:rsid w:val="106B2554"/>
    <w:rsid w:val="1085571C"/>
    <w:rsid w:val="10AD6224"/>
    <w:rsid w:val="113F7BA5"/>
    <w:rsid w:val="12970A77"/>
    <w:rsid w:val="12D300E7"/>
    <w:rsid w:val="136B79EF"/>
    <w:rsid w:val="1370543F"/>
    <w:rsid w:val="13811EEE"/>
    <w:rsid w:val="13FF3975"/>
    <w:rsid w:val="14861683"/>
    <w:rsid w:val="14887B46"/>
    <w:rsid w:val="14EF3497"/>
    <w:rsid w:val="153C45B3"/>
    <w:rsid w:val="157947AC"/>
    <w:rsid w:val="15DB09EF"/>
    <w:rsid w:val="1650535C"/>
    <w:rsid w:val="16B75B8F"/>
    <w:rsid w:val="16FE1938"/>
    <w:rsid w:val="170C3948"/>
    <w:rsid w:val="178056C8"/>
    <w:rsid w:val="17EC7FC1"/>
    <w:rsid w:val="17F81734"/>
    <w:rsid w:val="180061CB"/>
    <w:rsid w:val="18154C5A"/>
    <w:rsid w:val="18EF3804"/>
    <w:rsid w:val="19001E74"/>
    <w:rsid w:val="195C3A7E"/>
    <w:rsid w:val="1A2375F0"/>
    <w:rsid w:val="1AC0275A"/>
    <w:rsid w:val="1AE500E3"/>
    <w:rsid w:val="1B1D1342"/>
    <w:rsid w:val="1B2A6629"/>
    <w:rsid w:val="1BBC2184"/>
    <w:rsid w:val="1C103D2D"/>
    <w:rsid w:val="1C1965EC"/>
    <w:rsid w:val="1C7701B9"/>
    <w:rsid w:val="1CEA3F89"/>
    <w:rsid w:val="1CF73295"/>
    <w:rsid w:val="1D451326"/>
    <w:rsid w:val="1D5F4748"/>
    <w:rsid w:val="1D99665F"/>
    <w:rsid w:val="1E621D9B"/>
    <w:rsid w:val="1E9448CB"/>
    <w:rsid w:val="1E945AB3"/>
    <w:rsid w:val="1EA3498E"/>
    <w:rsid w:val="1EFB5835"/>
    <w:rsid w:val="1F5052F4"/>
    <w:rsid w:val="1F8A1433"/>
    <w:rsid w:val="1FD94E57"/>
    <w:rsid w:val="205247F6"/>
    <w:rsid w:val="205508A0"/>
    <w:rsid w:val="206501BF"/>
    <w:rsid w:val="20C21B5F"/>
    <w:rsid w:val="20D8491F"/>
    <w:rsid w:val="2163103A"/>
    <w:rsid w:val="217D79B3"/>
    <w:rsid w:val="219B3B12"/>
    <w:rsid w:val="219E2440"/>
    <w:rsid w:val="21F8300E"/>
    <w:rsid w:val="22D4227E"/>
    <w:rsid w:val="22FA27EC"/>
    <w:rsid w:val="230477A4"/>
    <w:rsid w:val="234550B7"/>
    <w:rsid w:val="2384696C"/>
    <w:rsid w:val="23B968AE"/>
    <w:rsid w:val="240772FF"/>
    <w:rsid w:val="24183DF0"/>
    <w:rsid w:val="247778DD"/>
    <w:rsid w:val="247A77A8"/>
    <w:rsid w:val="24D6630F"/>
    <w:rsid w:val="24F84929"/>
    <w:rsid w:val="252A0A7B"/>
    <w:rsid w:val="257B506C"/>
    <w:rsid w:val="259F7519"/>
    <w:rsid w:val="25AF42DB"/>
    <w:rsid w:val="25B348BA"/>
    <w:rsid w:val="25DE1005"/>
    <w:rsid w:val="25FD2566"/>
    <w:rsid w:val="26146B0C"/>
    <w:rsid w:val="26816946"/>
    <w:rsid w:val="26DB7398"/>
    <w:rsid w:val="27033FBD"/>
    <w:rsid w:val="2705728B"/>
    <w:rsid w:val="27417BF8"/>
    <w:rsid w:val="27693B45"/>
    <w:rsid w:val="283A129B"/>
    <w:rsid w:val="28FE78EF"/>
    <w:rsid w:val="29672817"/>
    <w:rsid w:val="29763DAA"/>
    <w:rsid w:val="29954B63"/>
    <w:rsid w:val="29A41943"/>
    <w:rsid w:val="29B831E7"/>
    <w:rsid w:val="29DF16A7"/>
    <w:rsid w:val="29F74F67"/>
    <w:rsid w:val="2A484907"/>
    <w:rsid w:val="2B755902"/>
    <w:rsid w:val="2BA81833"/>
    <w:rsid w:val="2BAC3F70"/>
    <w:rsid w:val="2BB02AB9"/>
    <w:rsid w:val="2C56166B"/>
    <w:rsid w:val="2C772798"/>
    <w:rsid w:val="2CE33635"/>
    <w:rsid w:val="2D391980"/>
    <w:rsid w:val="2D7C6F9A"/>
    <w:rsid w:val="2ED263DE"/>
    <w:rsid w:val="2F312BD6"/>
    <w:rsid w:val="2F4F315F"/>
    <w:rsid w:val="2F5260FE"/>
    <w:rsid w:val="2F78760A"/>
    <w:rsid w:val="30780EC9"/>
    <w:rsid w:val="309A0801"/>
    <w:rsid w:val="31651329"/>
    <w:rsid w:val="31C46552"/>
    <w:rsid w:val="31EC7268"/>
    <w:rsid w:val="32691E0F"/>
    <w:rsid w:val="33722AF4"/>
    <w:rsid w:val="339F6CDD"/>
    <w:rsid w:val="344952F9"/>
    <w:rsid w:val="34962644"/>
    <w:rsid w:val="34F20284"/>
    <w:rsid w:val="3619346A"/>
    <w:rsid w:val="36325088"/>
    <w:rsid w:val="366152C5"/>
    <w:rsid w:val="37DD34EA"/>
    <w:rsid w:val="3859649B"/>
    <w:rsid w:val="386D2696"/>
    <w:rsid w:val="38CA384A"/>
    <w:rsid w:val="39227B1B"/>
    <w:rsid w:val="39406911"/>
    <w:rsid w:val="39850296"/>
    <w:rsid w:val="39C26750"/>
    <w:rsid w:val="3A7F1D43"/>
    <w:rsid w:val="3A8D223E"/>
    <w:rsid w:val="3B291386"/>
    <w:rsid w:val="3B563038"/>
    <w:rsid w:val="3B7A306D"/>
    <w:rsid w:val="3B80307E"/>
    <w:rsid w:val="3BCA7BD7"/>
    <w:rsid w:val="3C6C37E2"/>
    <w:rsid w:val="3C7D1C3F"/>
    <w:rsid w:val="3CDF42B5"/>
    <w:rsid w:val="3CEA3E5A"/>
    <w:rsid w:val="3CFD6A0C"/>
    <w:rsid w:val="3DDA1E4D"/>
    <w:rsid w:val="400943B7"/>
    <w:rsid w:val="40143523"/>
    <w:rsid w:val="406B2735"/>
    <w:rsid w:val="4171469C"/>
    <w:rsid w:val="41857EAB"/>
    <w:rsid w:val="42C454C8"/>
    <w:rsid w:val="42EC4BA0"/>
    <w:rsid w:val="43482ADF"/>
    <w:rsid w:val="43497E11"/>
    <w:rsid w:val="438C52D1"/>
    <w:rsid w:val="43AF1DC7"/>
    <w:rsid w:val="442360D8"/>
    <w:rsid w:val="450B3104"/>
    <w:rsid w:val="45374F70"/>
    <w:rsid w:val="45A32D85"/>
    <w:rsid w:val="45E922E2"/>
    <w:rsid w:val="46181B9F"/>
    <w:rsid w:val="46B73DB3"/>
    <w:rsid w:val="46B85A12"/>
    <w:rsid w:val="46C20ABF"/>
    <w:rsid w:val="471C5409"/>
    <w:rsid w:val="475E76EE"/>
    <w:rsid w:val="47B54AE2"/>
    <w:rsid w:val="47C24104"/>
    <w:rsid w:val="484652C3"/>
    <w:rsid w:val="489E735B"/>
    <w:rsid w:val="48EF215B"/>
    <w:rsid w:val="49547ADE"/>
    <w:rsid w:val="499358EA"/>
    <w:rsid w:val="49A70025"/>
    <w:rsid w:val="4A9518DB"/>
    <w:rsid w:val="4AB935E6"/>
    <w:rsid w:val="4B1F601E"/>
    <w:rsid w:val="4B65339C"/>
    <w:rsid w:val="4BE2220E"/>
    <w:rsid w:val="4C6151E1"/>
    <w:rsid w:val="4CBF2857"/>
    <w:rsid w:val="4CF82AE4"/>
    <w:rsid w:val="4D097364"/>
    <w:rsid w:val="4D667BB3"/>
    <w:rsid w:val="4D7808AB"/>
    <w:rsid w:val="4DC87963"/>
    <w:rsid w:val="4E0626FD"/>
    <w:rsid w:val="4EA45B39"/>
    <w:rsid w:val="4EED2017"/>
    <w:rsid w:val="4F2E2211"/>
    <w:rsid w:val="4F4E78CD"/>
    <w:rsid w:val="4FA62E1E"/>
    <w:rsid w:val="4FAC0AB2"/>
    <w:rsid w:val="4FC809F8"/>
    <w:rsid w:val="4FE85961"/>
    <w:rsid w:val="50072C4D"/>
    <w:rsid w:val="50265A72"/>
    <w:rsid w:val="50341189"/>
    <w:rsid w:val="50837233"/>
    <w:rsid w:val="514C5668"/>
    <w:rsid w:val="51513799"/>
    <w:rsid w:val="518C29B6"/>
    <w:rsid w:val="52170DB7"/>
    <w:rsid w:val="52AA23A8"/>
    <w:rsid w:val="52B7187A"/>
    <w:rsid w:val="52BF3A93"/>
    <w:rsid w:val="53A5465B"/>
    <w:rsid w:val="53B6028C"/>
    <w:rsid w:val="54392B16"/>
    <w:rsid w:val="54442E65"/>
    <w:rsid w:val="545B2AA1"/>
    <w:rsid w:val="549B5701"/>
    <w:rsid w:val="54A9277D"/>
    <w:rsid w:val="55182E77"/>
    <w:rsid w:val="553F16B7"/>
    <w:rsid w:val="558856A9"/>
    <w:rsid w:val="55CA2A9E"/>
    <w:rsid w:val="55CA3B80"/>
    <w:rsid w:val="55E50F1B"/>
    <w:rsid w:val="565849FB"/>
    <w:rsid w:val="565F6886"/>
    <w:rsid w:val="56BC237C"/>
    <w:rsid w:val="56CD4B4D"/>
    <w:rsid w:val="575C7815"/>
    <w:rsid w:val="5798381B"/>
    <w:rsid w:val="57D4447A"/>
    <w:rsid w:val="57F759F2"/>
    <w:rsid w:val="585447AE"/>
    <w:rsid w:val="58AF736D"/>
    <w:rsid w:val="58D704D4"/>
    <w:rsid w:val="58EC4DE1"/>
    <w:rsid w:val="596B72CE"/>
    <w:rsid w:val="59B3494A"/>
    <w:rsid w:val="59EB1B1F"/>
    <w:rsid w:val="59EC6E24"/>
    <w:rsid w:val="5A0B2520"/>
    <w:rsid w:val="5A186813"/>
    <w:rsid w:val="5A3B2376"/>
    <w:rsid w:val="5A40591F"/>
    <w:rsid w:val="5A6F0692"/>
    <w:rsid w:val="5ABF2E42"/>
    <w:rsid w:val="5B586398"/>
    <w:rsid w:val="5B5E26D5"/>
    <w:rsid w:val="5B916903"/>
    <w:rsid w:val="5BEF472E"/>
    <w:rsid w:val="5C932202"/>
    <w:rsid w:val="5CC87E6F"/>
    <w:rsid w:val="5CD918EA"/>
    <w:rsid w:val="5D247D3D"/>
    <w:rsid w:val="5DA95287"/>
    <w:rsid w:val="5DAE1AC9"/>
    <w:rsid w:val="5E153AF5"/>
    <w:rsid w:val="5F0E1E7F"/>
    <w:rsid w:val="5F112305"/>
    <w:rsid w:val="5F2767B3"/>
    <w:rsid w:val="5FE31F70"/>
    <w:rsid w:val="60045498"/>
    <w:rsid w:val="602424E3"/>
    <w:rsid w:val="614C1844"/>
    <w:rsid w:val="617A6C2D"/>
    <w:rsid w:val="61855523"/>
    <w:rsid w:val="618968F0"/>
    <w:rsid w:val="619E6355"/>
    <w:rsid w:val="61BD64DA"/>
    <w:rsid w:val="6215384D"/>
    <w:rsid w:val="627460EE"/>
    <w:rsid w:val="62AC06BC"/>
    <w:rsid w:val="633B4987"/>
    <w:rsid w:val="63525D55"/>
    <w:rsid w:val="63F321C7"/>
    <w:rsid w:val="64BD699D"/>
    <w:rsid w:val="64C20A08"/>
    <w:rsid w:val="64F06443"/>
    <w:rsid w:val="65737FB9"/>
    <w:rsid w:val="65DF5ECF"/>
    <w:rsid w:val="661D7FD4"/>
    <w:rsid w:val="665A45AE"/>
    <w:rsid w:val="66A662C4"/>
    <w:rsid w:val="66DE2D4E"/>
    <w:rsid w:val="67222B8A"/>
    <w:rsid w:val="679D182D"/>
    <w:rsid w:val="67BB6396"/>
    <w:rsid w:val="68794E30"/>
    <w:rsid w:val="687B5327"/>
    <w:rsid w:val="688621C1"/>
    <w:rsid w:val="68C15BDE"/>
    <w:rsid w:val="6AD23ACD"/>
    <w:rsid w:val="6AE706B2"/>
    <w:rsid w:val="6B103823"/>
    <w:rsid w:val="6B315A81"/>
    <w:rsid w:val="6B4E7636"/>
    <w:rsid w:val="6C3F4637"/>
    <w:rsid w:val="6C9D07C7"/>
    <w:rsid w:val="6CB426A8"/>
    <w:rsid w:val="6D3835CD"/>
    <w:rsid w:val="6D9B59D3"/>
    <w:rsid w:val="6DDF18A8"/>
    <w:rsid w:val="6E7742D5"/>
    <w:rsid w:val="6E947A29"/>
    <w:rsid w:val="6EFB1E55"/>
    <w:rsid w:val="701E0D35"/>
    <w:rsid w:val="708C2BAE"/>
    <w:rsid w:val="717A54B6"/>
    <w:rsid w:val="71E47115"/>
    <w:rsid w:val="72124418"/>
    <w:rsid w:val="72BF52A3"/>
    <w:rsid w:val="73520170"/>
    <w:rsid w:val="73B32D5B"/>
    <w:rsid w:val="74906E74"/>
    <w:rsid w:val="74D2633E"/>
    <w:rsid w:val="75061B64"/>
    <w:rsid w:val="75127B2A"/>
    <w:rsid w:val="756B70AB"/>
    <w:rsid w:val="75BD287F"/>
    <w:rsid w:val="762D45E7"/>
    <w:rsid w:val="76432C97"/>
    <w:rsid w:val="76472E5B"/>
    <w:rsid w:val="76622032"/>
    <w:rsid w:val="76DA2B8D"/>
    <w:rsid w:val="773F1B2E"/>
    <w:rsid w:val="776141C0"/>
    <w:rsid w:val="77A11C76"/>
    <w:rsid w:val="77E71EE7"/>
    <w:rsid w:val="78403651"/>
    <w:rsid w:val="784051C1"/>
    <w:rsid w:val="78914F29"/>
    <w:rsid w:val="789E16E5"/>
    <w:rsid w:val="78DB40C6"/>
    <w:rsid w:val="7954401D"/>
    <w:rsid w:val="79547EF1"/>
    <w:rsid w:val="79A24C96"/>
    <w:rsid w:val="7A574038"/>
    <w:rsid w:val="7AC02D1F"/>
    <w:rsid w:val="7AE80A7B"/>
    <w:rsid w:val="7AE861A8"/>
    <w:rsid w:val="7B452E9A"/>
    <w:rsid w:val="7B5C7060"/>
    <w:rsid w:val="7B5E14E4"/>
    <w:rsid w:val="7B741965"/>
    <w:rsid w:val="7BBF78B4"/>
    <w:rsid w:val="7BFE30BC"/>
    <w:rsid w:val="7C0A7BF1"/>
    <w:rsid w:val="7CD24C07"/>
    <w:rsid w:val="7CDD0037"/>
    <w:rsid w:val="7D2C5AF6"/>
    <w:rsid w:val="7D8F4D87"/>
    <w:rsid w:val="7DBB66FE"/>
    <w:rsid w:val="7DBE27C1"/>
    <w:rsid w:val="7DCA5F0F"/>
    <w:rsid w:val="7E1F736F"/>
    <w:rsid w:val="7E300305"/>
    <w:rsid w:val="7E7D74C3"/>
    <w:rsid w:val="7EB52BD6"/>
    <w:rsid w:val="7F346A78"/>
    <w:rsid w:val="7FA57776"/>
    <w:rsid w:val="7FC250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styleId="3">
    <w:name w:val="Document Map"/>
    <w:basedOn w:val="1"/>
    <w:semiHidden/>
    <w:qFormat/>
    <w:uiPriority w:val="0"/>
    <w:pPr>
      <w:shd w:val="clear" w:color="auto" w:fill="00008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paragraph" w:customStyle="1" w:styleId="10">
    <w:name w:val="Char"/>
    <w:basedOn w:val="1"/>
    <w:qFormat/>
    <w:uiPriority w:val="0"/>
    <w:rPr>
      <w:rFonts w:ascii="宋体" w:hAnsi="宋体" w:cs="Courier New"/>
      <w:sz w:val="32"/>
      <w:szCs w:val="32"/>
    </w:rPr>
  </w:style>
  <w:style w:type="character" w:customStyle="1" w:styleId="11">
    <w:name w:val="页眉 Char"/>
    <w:link w:val="5"/>
    <w:qFormat/>
    <w:uiPriority w:val="0"/>
    <w:rPr>
      <w:kern w:val="2"/>
      <w:sz w:val="18"/>
      <w:szCs w:val="18"/>
    </w:rPr>
  </w:style>
  <w:style w:type="character" w:customStyle="1" w:styleId="12">
    <w:name w:val="页脚 Char"/>
    <w:link w:val="4"/>
    <w:qFormat/>
    <w:uiPriority w:val="0"/>
    <w:rPr>
      <w:kern w:val="2"/>
      <w:sz w:val="18"/>
      <w:szCs w:val="18"/>
    </w:rPr>
  </w:style>
  <w:style w:type="paragraph" w:customStyle="1" w:styleId="13">
    <w:name w:val="[Normal]"/>
    <w:qFormat/>
    <w:uiPriority w:val="0"/>
    <w:rPr>
      <w:rFonts w:ascii="宋体" w:hAnsi="宋体" w:eastAsia="宋体" w:cs="Times New Roman"/>
      <w:sz w:val="24"/>
      <w:lang w:val="zh-CN" w:eastAsia="zh-CN" w:bidi="ar-SA"/>
    </w:rPr>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xc</Company>
  <Pages>19</Pages>
  <Words>9460</Words>
  <Characters>10215</Characters>
  <Lines>145</Lines>
  <Paragraphs>54</Paragraphs>
  <TotalTime>0</TotalTime>
  <ScaleCrop>false</ScaleCrop>
  <LinksUpToDate>false</LinksUpToDate>
  <CharactersWithSpaces>10242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2020-01-06T08:45:00Z</dcterms:created>
  <dc:creator>dsx</dc:creator>
  <cp:lastModifiedBy>叶水花</cp:lastModifiedBy>
  <dcterms:modified xsi:type="dcterms:W3CDTF">2025-03-31T02:43:34Z</dcterms:modified>
  <dc:title>关于2019年部门预算的批复</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EDOID">
    <vt:r8>5838458</vt:r8>
  </property>
  <property fmtid="{D5CDD505-2E9C-101B-9397-08002B2CF9AE}" pid="4" name="ICV">
    <vt:lpwstr>AE293BE06396464AB610D12C04197BE8_13</vt:lpwstr>
  </property>
  <property fmtid="{D5CDD505-2E9C-101B-9397-08002B2CF9AE}" pid="5" name="KSOTemplateDocerSaveRecord">
    <vt:lpwstr>eyJoZGlkIjoiMDkyMzBhOWU1ZmQyNTE3YzlkZWViNjFmMzM0OWUyNGQifQ==</vt:lpwstr>
  </property>
</Properties>
</file>