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000000" w:themeColor="text1"/>
          <w:spacing w:val="15"/>
          <w:sz w:val="32"/>
          <w:szCs w:val="32"/>
        </w:rPr>
      </w:pPr>
    </w:p>
    <w:p>
      <w:pPr>
        <w:spacing w:line="560" w:lineRule="exact"/>
        <w:jc w:val="center"/>
        <w:rPr>
          <w:rFonts w:ascii="方正小标宋简体" w:hAnsi="方正小标宋简体" w:eastAsia="方正小标宋简体" w:cs="方正小标宋简体"/>
          <w:color w:val="000000" w:themeColor="text1"/>
          <w:spacing w:val="15"/>
          <w:sz w:val="44"/>
          <w:szCs w:val="44"/>
        </w:rPr>
      </w:pPr>
    </w:p>
    <w:p>
      <w:pPr>
        <w:spacing w:line="560" w:lineRule="exact"/>
        <w:jc w:val="center"/>
        <w:rPr>
          <w:rFonts w:ascii="方正小标宋简体" w:hAnsi="方正小标宋简体" w:eastAsia="方正小标宋简体" w:cs="方正小标宋简体"/>
          <w:bCs/>
          <w:color w:val="000000" w:themeColor="text1"/>
          <w:spacing w:val="15"/>
          <w:sz w:val="44"/>
          <w:szCs w:val="44"/>
        </w:rPr>
      </w:pPr>
    </w:p>
    <w:p>
      <w:pPr>
        <w:spacing w:line="560" w:lineRule="exact"/>
        <w:jc w:val="center"/>
        <w:rPr>
          <w:rFonts w:ascii="方正小标宋简体" w:hAnsi="方正小标宋简体" w:eastAsia="方正小标宋简体" w:cs="方正小标宋简体"/>
          <w:bCs/>
          <w:color w:val="000000" w:themeColor="text1"/>
          <w:spacing w:val="15"/>
          <w:sz w:val="44"/>
          <w:szCs w:val="44"/>
        </w:rPr>
      </w:pPr>
    </w:p>
    <w:p>
      <w:pPr>
        <w:spacing w:line="560" w:lineRule="exact"/>
        <w:jc w:val="center"/>
        <w:rPr>
          <w:rFonts w:ascii="方正小标宋简体" w:hAnsi="方正小标宋简体" w:eastAsia="方正小标宋简体" w:cs="方正小标宋简体"/>
          <w:bCs/>
          <w:color w:val="000000" w:themeColor="text1"/>
          <w:spacing w:val="15"/>
          <w:sz w:val="44"/>
          <w:szCs w:val="44"/>
        </w:rPr>
      </w:pPr>
    </w:p>
    <w:p>
      <w:pPr>
        <w:spacing w:line="560" w:lineRule="exact"/>
        <w:jc w:val="center"/>
        <w:rPr>
          <w:rFonts w:ascii="方正小标宋简体" w:hAnsi="方正小标宋简体" w:eastAsia="方正小标宋简体" w:cs="方正小标宋简体"/>
          <w:bCs/>
          <w:color w:val="000000" w:themeColor="text1"/>
          <w:spacing w:val="15"/>
          <w:sz w:val="44"/>
          <w:szCs w:val="44"/>
        </w:rPr>
      </w:pPr>
    </w:p>
    <w:p>
      <w:pPr>
        <w:spacing w:line="560" w:lineRule="exact"/>
        <w:jc w:val="center"/>
        <w:rPr>
          <w:rFonts w:ascii="方正小标宋简体" w:hAnsi="方正小标宋简体" w:eastAsia="方正小标宋简体" w:cs="方正小标宋简体"/>
          <w:bCs/>
          <w:color w:val="000000" w:themeColor="text1"/>
          <w:spacing w:val="15"/>
          <w:sz w:val="44"/>
          <w:szCs w:val="44"/>
        </w:rPr>
      </w:pPr>
    </w:p>
    <w:p>
      <w:pPr>
        <w:spacing w:line="560" w:lineRule="exact"/>
        <w:jc w:val="center"/>
        <w:rPr>
          <w:rFonts w:ascii="方正小标宋简体" w:hAnsi="方正小标宋简体" w:eastAsia="方正小标宋简体" w:cs="方正小标宋简体"/>
          <w:bCs/>
          <w:color w:val="000000" w:themeColor="text1"/>
          <w:spacing w:val="15"/>
          <w:sz w:val="44"/>
          <w:szCs w:val="44"/>
        </w:rPr>
      </w:pPr>
    </w:p>
    <w:p>
      <w:pPr>
        <w:spacing w:line="560" w:lineRule="exact"/>
        <w:jc w:val="center"/>
        <w:rPr>
          <w:rFonts w:ascii="方正小标宋简体" w:hAnsi="方正小标宋简体" w:eastAsia="方正小标宋简体" w:cs="方正小标宋简体"/>
          <w:bCs/>
          <w:color w:val="000000" w:themeColor="text1"/>
          <w:spacing w:val="15"/>
          <w:sz w:val="44"/>
          <w:szCs w:val="44"/>
        </w:rPr>
      </w:pPr>
    </w:p>
    <w:p>
      <w:pPr>
        <w:spacing w:line="560" w:lineRule="exact"/>
        <w:jc w:val="center"/>
        <w:rPr>
          <w:rFonts w:ascii="方正小标宋简体" w:hAnsi="方正小标宋简体" w:eastAsia="方正小标宋简体" w:cs="方正小标宋简体"/>
          <w:bCs/>
          <w:color w:val="000000" w:themeColor="text1"/>
          <w:spacing w:val="15"/>
          <w:sz w:val="44"/>
          <w:szCs w:val="44"/>
        </w:rPr>
      </w:pPr>
      <w:r>
        <w:rPr>
          <w:rFonts w:ascii="方正小标宋简体" w:hAnsi="方正小标宋简体" w:eastAsia="方正小标宋简体" w:cs="方正小标宋简体"/>
          <w:bCs/>
          <w:color w:val="000000" w:themeColor="text1"/>
          <w:spacing w:val="15"/>
          <w:sz w:val="44"/>
          <w:szCs w:val="44"/>
        </w:rPr>
        <w:t>丽水市老年活动中心</w:t>
      </w:r>
      <w:r>
        <w:rPr>
          <w:rFonts w:hint="eastAsia" w:ascii="方正小标宋简体" w:hAnsi="方正小标宋简体" w:eastAsia="方正小标宋简体" w:cs="方正小标宋简体"/>
          <w:bCs/>
          <w:color w:val="000000" w:themeColor="text1"/>
          <w:spacing w:val="15"/>
          <w:sz w:val="44"/>
          <w:szCs w:val="44"/>
          <w:lang w:eastAsia="zh-CN"/>
        </w:rPr>
        <w:t>2025年</w:t>
      </w:r>
      <w:r>
        <w:rPr>
          <w:rFonts w:hint="eastAsia" w:ascii="方正小标宋简体" w:hAnsi="方正小标宋简体" w:eastAsia="方正小标宋简体" w:cs="方正小标宋简体"/>
          <w:bCs/>
          <w:color w:val="000000" w:themeColor="text1"/>
          <w:spacing w:val="15"/>
          <w:sz w:val="44"/>
          <w:szCs w:val="44"/>
        </w:rPr>
        <w:t>单位预算</w:t>
      </w:r>
    </w:p>
    <w:p>
      <w:pPr>
        <w:spacing w:line="560" w:lineRule="exact"/>
        <w:ind w:firstLine="590" w:firstLineChars="196"/>
        <w:rPr>
          <w:rStyle w:val="9"/>
          <w:color w:val="000000" w:themeColor="text1"/>
          <w:sz w:val="30"/>
          <w:szCs w:val="30"/>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p>
    <w:p>
      <w:pPr>
        <w:spacing w:line="520" w:lineRule="exact"/>
        <w:rPr>
          <w:rStyle w:val="9"/>
          <w:rFonts w:ascii="黑体" w:eastAsia="黑体"/>
          <w:b w:val="0"/>
          <w:color w:val="000000" w:themeColor="text1"/>
          <w:sz w:val="32"/>
          <w:szCs w:val="32"/>
        </w:rPr>
      </w:pPr>
    </w:p>
    <w:p>
      <w:pPr>
        <w:spacing w:line="520" w:lineRule="exact"/>
        <w:ind w:firstLine="627" w:firstLineChars="196"/>
        <w:jc w:val="center"/>
        <w:rPr>
          <w:rStyle w:val="9"/>
          <w:rFonts w:ascii="黑体" w:eastAsia="黑体"/>
          <w:b w:val="0"/>
          <w:color w:val="000000" w:themeColor="text1"/>
          <w:sz w:val="32"/>
          <w:szCs w:val="32"/>
        </w:rPr>
      </w:pPr>
      <w:r>
        <w:rPr>
          <w:rStyle w:val="9"/>
          <w:rFonts w:hint="eastAsia" w:ascii="黑体" w:eastAsia="黑体"/>
          <w:b w:val="0"/>
          <w:color w:val="000000" w:themeColor="text1"/>
          <w:sz w:val="32"/>
          <w:szCs w:val="32"/>
        </w:rPr>
        <w:t>目录</w:t>
      </w:r>
    </w:p>
    <w:p>
      <w:pPr>
        <w:spacing w:line="520" w:lineRule="exact"/>
        <w:rPr>
          <w:rFonts w:eastAsia="黑体"/>
          <w:color w:val="000000" w:themeColor="text1"/>
          <w:sz w:val="32"/>
        </w:rPr>
      </w:pPr>
      <w:r>
        <w:rPr>
          <w:rFonts w:hint="eastAsia" w:ascii="黑体" w:eastAsia="黑体"/>
          <w:color w:val="000000" w:themeColor="text1"/>
          <w:sz w:val="32"/>
          <w:highlight w:val="white"/>
        </w:rPr>
        <w:t>一、单位</w:t>
      </w:r>
      <w:r>
        <w:rPr>
          <w:rStyle w:val="9"/>
          <w:rFonts w:hint="eastAsia" w:ascii="黑体" w:eastAsia="黑体"/>
          <w:b w:val="0"/>
          <w:color w:val="000000" w:themeColor="text1"/>
          <w:sz w:val="32"/>
          <w:szCs w:val="32"/>
        </w:rPr>
        <w:t>概况</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（一）主要职能</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（二）单位机构设置情况</w:t>
      </w:r>
    </w:p>
    <w:p>
      <w:pPr>
        <w:spacing w:line="520" w:lineRule="exact"/>
        <w:rPr>
          <w:rStyle w:val="9"/>
          <w:rFonts w:ascii="黑体" w:eastAsia="黑体"/>
          <w:b w:val="0"/>
          <w:color w:val="000000" w:themeColor="text1"/>
          <w:sz w:val="32"/>
          <w:szCs w:val="32"/>
        </w:rPr>
      </w:pPr>
      <w:r>
        <w:rPr>
          <w:rStyle w:val="9"/>
          <w:rFonts w:hint="eastAsia" w:ascii="黑体" w:eastAsia="黑体"/>
          <w:b w:val="0"/>
          <w:color w:val="000000" w:themeColor="text1"/>
          <w:sz w:val="32"/>
          <w:szCs w:val="32"/>
        </w:rPr>
        <w:t>二、</w:t>
      </w:r>
      <w:r>
        <w:rPr>
          <w:rStyle w:val="9"/>
          <w:rFonts w:hint="eastAsia" w:ascii="黑体" w:eastAsia="黑体"/>
          <w:b w:val="0"/>
          <w:color w:val="000000" w:themeColor="text1"/>
          <w:sz w:val="32"/>
          <w:szCs w:val="32"/>
          <w:lang w:eastAsia="zh-CN"/>
        </w:rPr>
        <w:t>2025年</w:t>
      </w:r>
      <w:r>
        <w:rPr>
          <w:rStyle w:val="9"/>
          <w:rFonts w:hint="eastAsia" w:ascii="黑体" w:eastAsia="黑体"/>
          <w:b w:val="0"/>
          <w:color w:val="000000" w:themeColor="text1"/>
          <w:sz w:val="32"/>
          <w:szCs w:val="32"/>
        </w:rPr>
        <w:t>丽水市老年活动中心单位预算安排情况说明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（一）关于丽水市老年活动中心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收支预算情况的总体说明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（二）关于丽水市老年活动中心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收入预算情况说明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（三）关于丽水市老年活动中心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支出预算情况说明</w:t>
      </w:r>
      <w:r>
        <w:rPr>
          <w:rFonts w:hint="eastAsia" w:ascii="楷体_GB2312" w:hAnsi="楷体_GB2312" w:eastAsia="楷体_GB2312" w:cs="楷体_GB2312"/>
          <w:bCs/>
          <w:color w:val="000000" w:themeColor="text1"/>
          <w:sz w:val="32"/>
          <w:szCs w:val="32"/>
        </w:rPr>
        <w:br w:type="textWrapping"/>
      </w:r>
      <w:r>
        <w:rPr>
          <w:rFonts w:hint="eastAsia" w:ascii="楷体_GB2312" w:hAnsi="楷体_GB2312" w:eastAsia="楷体_GB2312" w:cs="楷体_GB2312"/>
          <w:bCs/>
          <w:color w:val="000000" w:themeColor="text1"/>
          <w:sz w:val="32"/>
          <w:szCs w:val="32"/>
        </w:rPr>
        <w:t>（四）关于丽水市老年活动中心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财政拨款收支预算情况的总体说明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（五）关于丽水市老年活动中心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一般公共预算拨款情况说明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（六）关于丽水市老年活动中心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一般公共预算基本支出情况说明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（七）关于丽水市老年活动中心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政府性基金预算支出情况说明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（八）关于丽水市老年活动中心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国有资本经营预算支出情况说明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（九）关于丽水市老年活动中心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一般公共预算“三公”经费预算情况说明</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（十）其他重要事项的情况说明</w:t>
      </w:r>
    </w:p>
    <w:p>
      <w:pPr>
        <w:pStyle w:val="14"/>
        <w:spacing w:line="520" w:lineRule="exact"/>
        <w:rPr>
          <w:rStyle w:val="9"/>
          <w:rFonts w:ascii="黑体" w:hAnsi="Calibri" w:eastAsia="黑体"/>
          <w:b w:val="0"/>
          <w:color w:val="000000" w:themeColor="text1"/>
          <w:kern w:val="2"/>
          <w:sz w:val="32"/>
          <w:szCs w:val="32"/>
        </w:rPr>
      </w:pPr>
      <w:r>
        <w:rPr>
          <w:rStyle w:val="9"/>
          <w:rFonts w:hint="eastAsia" w:ascii="黑体" w:hAnsi="Calibri" w:eastAsia="黑体"/>
          <w:b w:val="0"/>
          <w:color w:val="000000" w:themeColor="text1"/>
          <w:kern w:val="2"/>
          <w:sz w:val="32"/>
          <w:szCs w:val="32"/>
        </w:rPr>
        <w:t>三、名词解释</w:t>
      </w:r>
    </w:p>
    <w:p>
      <w:pPr>
        <w:spacing w:line="520" w:lineRule="exact"/>
        <w:rPr>
          <w:rStyle w:val="9"/>
          <w:rFonts w:ascii="黑体" w:eastAsia="黑体"/>
          <w:b w:val="0"/>
          <w:color w:val="000000" w:themeColor="text1"/>
          <w:sz w:val="32"/>
          <w:szCs w:val="32"/>
        </w:rPr>
      </w:pPr>
      <w:r>
        <w:rPr>
          <w:rStyle w:val="9"/>
          <w:rFonts w:hint="eastAsia" w:ascii="黑体" w:eastAsia="黑体"/>
          <w:b w:val="0"/>
          <w:color w:val="000000" w:themeColor="text1"/>
          <w:sz w:val="32"/>
          <w:szCs w:val="32"/>
        </w:rPr>
        <w:t>四、</w:t>
      </w:r>
      <w:r>
        <w:rPr>
          <w:rStyle w:val="9"/>
          <w:rFonts w:hint="eastAsia" w:ascii="黑体" w:eastAsia="黑体"/>
          <w:b w:val="0"/>
          <w:color w:val="000000" w:themeColor="text1"/>
          <w:sz w:val="32"/>
          <w:szCs w:val="32"/>
          <w:lang w:eastAsia="zh-CN"/>
        </w:rPr>
        <w:t>2025年</w:t>
      </w:r>
      <w:r>
        <w:rPr>
          <w:rStyle w:val="9"/>
          <w:rFonts w:hint="eastAsia" w:ascii="黑体" w:eastAsia="黑体"/>
          <w:b w:val="0"/>
          <w:color w:val="000000" w:themeColor="text1"/>
          <w:sz w:val="32"/>
          <w:szCs w:val="32"/>
        </w:rPr>
        <w:t>丽水市老年活动中心单位预算表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（一）</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单位收支预算总表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（二）</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单位收入预算总表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（三）</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单位支出预算总表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（四）</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单位财政拨款收支预算总表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（五）</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单位一般公共预算支出表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（六）</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单位一般公共预算基本支出表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单位一般公共预算“三公”经费支出表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（八）</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单位政府性基金预算支出表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（九）</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单位国有资本经营预算支出表</w:t>
      </w:r>
    </w:p>
    <w:p>
      <w:pPr>
        <w:autoSpaceDE w:val="0"/>
        <w:autoSpaceDN w:val="0"/>
        <w:adjustRightInd w:val="0"/>
        <w:ind w:left="420" w:leftChars="200"/>
        <w:jc w:val="lef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（十）</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单位项目支出预算表</w:t>
      </w:r>
    </w:p>
    <w:p>
      <w:pPr>
        <w:autoSpaceDE w:val="0"/>
        <w:autoSpaceDN w:val="0"/>
        <w:adjustRightInd w:val="0"/>
        <w:ind w:left="420" w:leftChars="200"/>
        <w:jc w:val="left"/>
        <w:rPr>
          <w:rStyle w:val="9"/>
          <w:rFonts w:ascii="楷体_GB2312" w:hAnsi="楷体_GB2312" w:eastAsia="楷体_GB2312" w:cs="楷体_GB2312"/>
          <w:b w:val="0"/>
          <w:color w:val="000000" w:themeColor="text1"/>
          <w:sz w:val="32"/>
          <w:szCs w:val="32"/>
        </w:rPr>
      </w:pPr>
      <w:r>
        <w:rPr>
          <w:rFonts w:hint="eastAsia" w:ascii="楷体_GB2312" w:hAnsi="楷体_GB2312" w:eastAsia="楷体_GB2312" w:cs="楷体_GB2312"/>
          <w:bCs/>
          <w:color w:val="000000" w:themeColor="text1"/>
          <w:sz w:val="32"/>
          <w:szCs w:val="32"/>
        </w:rPr>
        <w:t>（十一）</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单位项目支出绩效表</w:t>
      </w:r>
    </w:p>
    <w:p>
      <w:pPr>
        <w:pStyle w:val="2"/>
        <w:rPr>
          <w:rStyle w:val="9"/>
          <w:rFonts w:hint="default" w:ascii="黑体" w:eastAsia="黑体"/>
          <w:b w:val="0"/>
          <w:color w:val="000000" w:themeColor="text1"/>
          <w:sz w:val="32"/>
          <w:szCs w:val="32"/>
        </w:rPr>
      </w:pPr>
    </w:p>
    <w:p>
      <w:pPr>
        <w:pStyle w:val="2"/>
        <w:rPr>
          <w:rStyle w:val="9"/>
          <w:rFonts w:hint="default" w:ascii="黑体" w:eastAsia="黑体"/>
          <w:b w:val="0"/>
          <w:color w:val="000000" w:themeColor="text1"/>
          <w:sz w:val="32"/>
          <w:szCs w:val="32"/>
        </w:rPr>
      </w:pPr>
    </w:p>
    <w:p>
      <w:pPr>
        <w:pStyle w:val="2"/>
        <w:rPr>
          <w:rStyle w:val="9"/>
          <w:rFonts w:hint="default" w:ascii="黑体" w:eastAsia="黑体"/>
          <w:b w:val="0"/>
          <w:color w:val="000000" w:themeColor="text1"/>
          <w:sz w:val="32"/>
          <w:szCs w:val="32"/>
        </w:rPr>
      </w:pPr>
    </w:p>
    <w:p>
      <w:pPr>
        <w:pStyle w:val="2"/>
        <w:rPr>
          <w:rStyle w:val="9"/>
          <w:rFonts w:hint="default" w:ascii="黑体" w:eastAsia="黑体"/>
          <w:b w:val="0"/>
          <w:color w:val="000000" w:themeColor="text1"/>
          <w:sz w:val="32"/>
          <w:szCs w:val="32"/>
        </w:rPr>
      </w:pPr>
    </w:p>
    <w:p>
      <w:pPr>
        <w:pStyle w:val="2"/>
        <w:rPr>
          <w:rStyle w:val="9"/>
          <w:rFonts w:hint="default" w:ascii="黑体" w:eastAsia="黑体"/>
          <w:b w:val="0"/>
          <w:color w:val="000000" w:themeColor="text1"/>
          <w:sz w:val="32"/>
          <w:szCs w:val="32"/>
        </w:rPr>
      </w:pPr>
    </w:p>
    <w:p>
      <w:pPr>
        <w:pStyle w:val="2"/>
        <w:rPr>
          <w:rStyle w:val="9"/>
          <w:rFonts w:hint="default" w:ascii="黑体" w:eastAsia="黑体"/>
          <w:b w:val="0"/>
          <w:color w:val="000000" w:themeColor="text1"/>
          <w:sz w:val="32"/>
          <w:szCs w:val="32"/>
        </w:rPr>
      </w:pPr>
    </w:p>
    <w:p>
      <w:pPr>
        <w:pStyle w:val="2"/>
        <w:rPr>
          <w:rStyle w:val="9"/>
          <w:rFonts w:hint="default" w:ascii="黑体" w:eastAsia="黑体"/>
          <w:b w:val="0"/>
          <w:color w:val="000000" w:themeColor="text1"/>
          <w:sz w:val="32"/>
          <w:szCs w:val="32"/>
        </w:rPr>
      </w:pPr>
    </w:p>
    <w:p>
      <w:pPr>
        <w:pStyle w:val="2"/>
        <w:rPr>
          <w:rStyle w:val="9"/>
          <w:rFonts w:hint="default" w:ascii="黑体" w:eastAsia="黑体"/>
          <w:b w:val="0"/>
          <w:color w:val="000000" w:themeColor="text1"/>
          <w:sz w:val="32"/>
          <w:szCs w:val="32"/>
        </w:rPr>
      </w:pPr>
    </w:p>
    <w:p>
      <w:pPr>
        <w:pStyle w:val="2"/>
        <w:rPr>
          <w:rStyle w:val="9"/>
          <w:rFonts w:hint="default" w:ascii="黑体" w:eastAsia="黑体"/>
          <w:b w:val="0"/>
          <w:color w:val="000000" w:themeColor="text1"/>
          <w:sz w:val="32"/>
          <w:szCs w:val="32"/>
        </w:rPr>
      </w:pPr>
    </w:p>
    <w:p>
      <w:pPr>
        <w:pStyle w:val="2"/>
        <w:tabs>
          <w:tab w:val="left" w:pos="2608"/>
        </w:tabs>
        <w:rPr>
          <w:rStyle w:val="9"/>
          <w:rFonts w:hint="default" w:ascii="黑体" w:eastAsia="黑体"/>
          <w:b w:val="0"/>
          <w:color w:val="000000" w:themeColor="text1"/>
          <w:sz w:val="32"/>
          <w:szCs w:val="32"/>
        </w:rPr>
      </w:pPr>
      <w:r>
        <w:rPr>
          <w:rStyle w:val="9"/>
          <w:rFonts w:ascii="黑体" w:eastAsia="黑体"/>
          <w:b w:val="0"/>
          <w:color w:val="000000" w:themeColor="text1"/>
          <w:sz w:val="32"/>
          <w:szCs w:val="32"/>
        </w:rPr>
        <w:tab/>
      </w:r>
    </w:p>
    <w:p>
      <w:pPr>
        <w:spacing w:line="520" w:lineRule="exact"/>
        <w:ind w:firstLine="627" w:firstLineChars="196"/>
        <w:rPr>
          <w:rStyle w:val="9"/>
          <w:rFonts w:ascii="黑体" w:eastAsia="黑体"/>
          <w:b w:val="0"/>
          <w:color w:val="000000" w:themeColor="text1"/>
          <w:sz w:val="32"/>
          <w:szCs w:val="32"/>
        </w:rPr>
      </w:pPr>
      <w:r>
        <w:rPr>
          <w:rStyle w:val="9"/>
          <w:rFonts w:hint="eastAsia" w:ascii="黑体" w:eastAsia="黑体"/>
          <w:b w:val="0"/>
          <w:color w:val="000000" w:themeColor="text1"/>
          <w:sz w:val="32"/>
          <w:szCs w:val="32"/>
        </w:rPr>
        <w:t>一、单位概况</w:t>
      </w:r>
    </w:p>
    <w:p>
      <w:pPr>
        <w:spacing w:line="520" w:lineRule="exact"/>
        <w:ind w:firstLine="627" w:firstLineChars="196"/>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（一）主要职能</w:t>
      </w:r>
    </w:p>
    <w:p>
      <w:pPr>
        <w:spacing w:line="520" w:lineRule="exact"/>
        <w:ind w:firstLine="627" w:firstLineChars="196"/>
        <w:rPr>
          <w:rFonts w:hint="eastAsia" w:ascii="仿宋_GB2312" w:eastAsia="仿宋_GB2312"/>
          <w:bCs/>
          <w:color w:val="000000" w:themeColor="text1"/>
          <w:sz w:val="32"/>
          <w:szCs w:val="32"/>
        </w:rPr>
      </w:pPr>
      <w:r>
        <w:rPr>
          <w:rFonts w:hint="eastAsia" w:ascii="仿宋_GB2312" w:eastAsia="仿宋_GB2312"/>
          <w:bCs/>
          <w:color w:val="000000" w:themeColor="text1"/>
          <w:sz w:val="32"/>
          <w:szCs w:val="32"/>
        </w:rPr>
        <w:t>1.开展老年教育、老年文体活动以及相关培训。</w:t>
      </w:r>
    </w:p>
    <w:p>
      <w:pPr>
        <w:spacing w:line="520" w:lineRule="exact"/>
        <w:ind w:firstLine="627" w:firstLineChars="196"/>
        <w:rPr>
          <w:rFonts w:hint="eastAsia" w:ascii="仿宋_GB2312" w:eastAsia="仿宋_GB2312"/>
          <w:bCs/>
          <w:color w:val="000000" w:themeColor="text1"/>
          <w:sz w:val="32"/>
          <w:szCs w:val="32"/>
        </w:rPr>
      </w:pPr>
      <w:r>
        <w:rPr>
          <w:rFonts w:hint="eastAsia" w:ascii="仿宋_GB2312" w:eastAsia="仿宋_GB2312"/>
          <w:bCs/>
          <w:color w:val="000000" w:themeColor="text1"/>
          <w:sz w:val="32"/>
          <w:szCs w:val="32"/>
          <w:lang w:val="en-US" w:eastAsia="zh-CN"/>
        </w:rPr>
        <w:t>2.</w:t>
      </w:r>
      <w:r>
        <w:rPr>
          <w:rFonts w:hint="eastAsia" w:ascii="仿宋_GB2312" w:eastAsia="仿宋_GB2312"/>
          <w:bCs/>
          <w:color w:val="000000" w:themeColor="text1"/>
          <w:sz w:val="32"/>
          <w:szCs w:val="32"/>
        </w:rPr>
        <w:t>参与开展人口老龄化国情教育、老年健康工作促进活动，养老教育活动和对外合作交流。</w:t>
      </w:r>
    </w:p>
    <w:p>
      <w:pPr>
        <w:spacing w:line="520" w:lineRule="exact"/>
        <w:ind w:firstLine="627" w:firstLineChars="196"/>
        <w:rPr>
          <w:rFonts w:hint="eastAsia" w:ascii="仿宋_GB2312" w:eastAsia="仿宋_GB2312"/>
          <w:bCs/>
          <w:color w:val="000000" w:themeColor="text1"/>
          <w:sz w:val="32"/>
          <w:szCs w:val="32"/>
        </w:rPr>
      </w:pPr>
      <w:r>
        <w:rPr>
          <w:rFonts w:hint="eastAsia" w:ascii="仿宋_GB2312" w:eastAsia="仿宋_GB2312"/>
          <w:bCs/>
          <w:color w:val="000000" w:themeColor="text1"/>
          <w:sz w:val="32"/>
          <w:szCs w:val="32"/>
          <w:lang w:val="en-US" w:eastAsia="zh-CN"/>
        </w:rPr>
        <w:t>3.</w:t>
      </w:r>
      <w:r>
        <w:rPr>
          <w:rFonts w:hint="eastAsia" w:ascii="仿宋_GB2312" w:eastAsia="仿宋_GB2312"/>
          <w:bCs/>
          <w:color w:val="000000" w:themeColor="text1"/>
          <w:sz w:val="32"/>
          <w:szCs w:val="32"/>
        </w:rPr>
        <w:t>开展全市老年活动中心的合作与交流，推进全市老年活动开展及地方老年文体项目培育。</w:t>
      </w:r>
    </w:p>
    <w:p>
      <w:pPr>
        <w:spacing w:line="520" w:lineRule="exact"/>
        <w:ind w:firstLine="627" w:firstLineChars="196"/>
        <w:rPr>
          <w:rFonts w:hint="eastAsia" w:ascii="仿宋_GB2312" w:eastAsia="仿宋_GB2312"/>
          <w:bCs/>
          <w:color w:val="000000" w:themeColor="text1"/>
          <w:sz w:val="32"/>
          <w:szCs w:val="32"/>
        </w:rPr>
      </w:pPr>
      <w:r>
        <w:rPr>
          <w:rFonts w:hint="eastAsia" w:ascii="仿宋_GB2312" w:eastAsia="仿宋_GB2312"/>
          <w:bCs/>
          <w:color w:val="000000" w:themeColor="text1"/>
          <w:sz w:val="32"/>
          <w:szCs w:val="32"/>
          <w:lang w:val="en-US" w:eastAsia="zh-CN"/>
        </w:rPr>
        <w:t>4.</w:t>
      </w:r>
      <w:r>
        <w:rPr>
          <w:rFonts w:hint="eastAsia" w:ascii="仿宋_GB2312" w:eastAsia="仿宋_GB2312"/>
          <w:bCs/>
          <w:color w:val="000000" w:themeColor="text1"/>
          <w:sz w:val="32"/>
          <w:szCs w:val="32"/>
        </w:rPr>
        <w:t>开展涉老志愿服务和公益项目，为社会参与老龄事业发展提供服务。</w:t>
      </w:r>
    </w:p>
    <w:p>
      <w:pPr>
        <w:spacing w:line="520" w:lineRule="exact"/>
        <w:ind w:firstLine="627" w:firstLineChars="196"/>
        <w:rPr>
          <w:rFonts w:hint="eastAsia" w:ascii="仿宋_GB2312" w:eastAsia="仿宋_GB2312"/>
          <w:bCs/>
          <w:color w:val="000000" w:themeColor="text1"/>
          <w:sz w:val="32"/>
          <w:szCs w:val="32"/>
        </w:rPr>
      </w:pPr>
      <w:r>
        <w:rPr>
          <w:rFonts w:hint="eastAsia" w:ascii="仿宋_GB2312" w:eastAsia="仿宋_GB2312"/>
          <w:bCs/>
          <w:color w:val="000000" w:themeColor="text1"/>
          <w:sz w:val="32"/>
          <w:szCs w:val="32"/>
          <w:lang w:val="en-US" w:eastAsia="zh-CN"/>
        </w:rPr>
        <w:t>5.</w:t>
      </w:r>
      <w:r>
        <w:rPr>
          <w:rFonts w:hint="eastAsia" w:ascii="仿宋_GB2312" w:eastAsia="仿宋_GB2312"/>
          <w:bCs/>
          <w:color w:val="000000" w:themeColor="text1"/>
          <w:sz w:val="32"/>
          <w:szCs w:val="32"/>
        </w:rPr>
        <w:t>联系协调老年社团，引导开展积极健康的社会活动。</w:t>
      </w:r>
    </w:p>
    <w:p>
      <w:pPr>
        <w:spacing w:line="520" w:lineRule="exact"/>
        <w:ind w:firstLine="627" w:firstLineChars="196"/>
        <w:rPr>
          <w:rFonts w:hint="eastAsia" w:ascii="仿宋_GB2312" w:eastAsia="仿宋_GB2312"/>
          <w:bCs/>
          <w:color w:val="000000" w:themeColor="text1"/>
          <w:sz w:val="32"/>
          <w:szCs w:val="32"/>
        </w:rPr>
      </w:pPr>
      <w:r>
        <w:rPr>
          <w:rFonts w:hint="eastAsia" w:ascii="仿宋_GB2312" w:eastAsia="仿宋_GB2312"/>
          <w:bCs/>
          <w:color w:val="000000" w:themeColor="text1"/>
          <w:sz w:val="32"/>
          <w:szCs w:val="32"/>
          <w:lang w:val="en-US" w:eastAsia="zh-CN"/>
        </w:rPr>
        <w:t>6.</w:t>
      </w:r>
      <w:r>
        <w:rPr>
          <w:rFonts w:hint="eastAsia" w:ascii="仿宋_GB2312" w:eastAsia="仿宋_GB2312"/>
          <w:bCs/>
          <w:color w:val="000000" w:themeColor="text1"/>
          <w:sz w:val="32"/>
          <w:szCs w:val="32"/>
        </w:rPr>
        <w:t>协助开展老龄健康相关工作调研，项目评估等工作。</w:t>
      </w:r>
    </w:p>
    <w:p>
      <w:pPr>
        <w:spacing w:line="520" w:lineRule="exact"/>
        <w:ind w:firstLine="627" w:firstLineChars="196"/>
        <w:rPr>
          <w:rFonts w:hint="eastAsia" w:ascii="仿宋_GB2312" w:eastAsia="仿宋_GB2312"/>
          <w:bCs/>
          <w:color w:val="000000" w:themeColor="text1"/>
          <w:sz w:val="32"/>
          <w:szCs w:val="32"/>
        </w:rPr>
      </w:pPr>
      <w:r>
        <w:rPr>
          <w:rFonts w:hint="eastAsia" w:ascii="仿宋_GB2312" w:eastAsia="仿宋_GB2312"/>
          <w:bCs/>
          <w:color w:val="000000" w:themeColor="text1"/>
          <w:sz w:val="32"/>
          <w:szCs w:val="32"/>
        </w:rPr>
        <w:t>承担长寿之乡绿色发展区域合作联盟秘书处的辅助工作。</w:t>
      </w:r>
    </w:p>
    <w:p>
      <w:pPr>
        <w:spacing w:line="520" w:lineRule="exact"/>
        <w:ind w:firstLine="627" w:firstLineChars="196"/>
        <w:rPr>
          <w:rFonts w:ascii="仿宋_GB2312" w:eastAsia="仿宋_GB2312"/>
          <w:bCs/>
          <w:color w:val="000000" w:themeColor="text1"/>
          <w:sz w:val="32"/>
          <w:szCs w:val="32"/>
        </w:rPr>
      </w:pPr>
      <w:r>
        <w:rPr>
          <w:rFonts w:hint="eastAsia" w:ascii="仿宋_GB2312" w:eastAsia="仿宋_GB2312"/>
          <w:bCs/>
          <w:color w:val="000000" w:themeColor="text1"/>
          <w:sz w:val="32"/>
          <w:szCs w:val="32"/>
          <w:lang w:val="en-US" w:eastAsia="zh-CN"/>
        </w:rPr>
        <w:t>7.</w:t>
      </w:r>
      <w:r>
        <w:rPr>
          <w:rFonts w:hint="eastAsia" w:ascii="仿宋_GB2312" w:eastAsia="仿宋_GB2312"/>
          <w:bCs/>
          <w:color w:val="000000" w:themeColor="text1"/>
          <w:sz w:val="32"/>
          <w:szCs w:val="32"/>
        </w:rPr>
        <w:t>完成市民政局交办的其他任务。</w:t>
      </w:r>
    </w:p>
    <w:p>
      <w:pPr>
        <w:spacing w:line="520" w:lineRule="exact"/>
        <w:ind w:firstLine="627" w:firstLineChars="196"/>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（二）单位机构设置情况</w:t>
      </w:r>
    </w:p>
    <w:p>
      <w:pPr>
        <w:spacing w:line="520" w:lineRule="exact"/>
        <w:ind w:firstLine="627" w:firstLineChars="196"/>
        <w:rPr>
          <w:rFonts w:hint="eastAsia" w:ascii="仿宋_GB2312" w:eastAsia="仿宋_GB2312"/>
          <w:bCs/>
          <w:color w:val="000000" w:themeColor="text1"/>
          <w:sz w:val="32"/>
          <w:szCs w:val="32"/>
          <w:lang w:val="en-US" w:eastAsia="zh-CN"/>
        </w:rPr>
      </w:pPr>
      <w:r>
        <w:rPr>
          <w:rFonts w:hint="eastAsia" w:ascii="仿宋_GB2312" w:eastAsia="仿宋_GB2312"/>
          <w:bCs/>
          <w:color w:val="000000" w:themeColor="text1"/>
          <w:sz w:val="32"/>
          <w:szCs w:val="32"/>
          <w:lang w:val="en-US" w:eastAsia="zh-CN"/>
        </w:rPr>
        <w:t>2024年末机构数为1个，为全额拨款事业单位。</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Style w:val="9"/>
          <w:rFonts w:hint="eastAsia" w:ascii="楷体_GB2312" w:hAnsi="楷体_GB2312" w:eastAsia="楷体_GB2312" w:cs="楷体_GB2312"/>
          <w:b w:val="0"/>
          <w:bCs w:val="0"/>
          <w:color w:val="000000" w:themeColor="text1"/>
          <w:sz w:val="32"/>
          <w:szCs w:val="32"/>
        </w:rPr>
      </w:pPr>
      <w:r>
        <w:rPr>
          <w:rStyle w:val="9"/>
          <w:rFonts w:hint="eastAsia" w:ascii="黑体" w:eastAsia="黑体"/>
          <w:b w:val="0"/>
          <w:color w:val="000000" w:themeColor="text1"/>
          <w:sz w:val="32"/>
          <w:szCs w:val="32"/>
        </w:rPr>
        <w:t>二、</w:t>
      </w:r>
      <w:r>
        <w:rPr>
          <w:rStyle w:val="9"/>
          <w:rFonts w:hint="eastAsia" w:ascii="黑体" w:eastAsia="黑体"/>
          <w:b w:val="0"/>
          <w:color w:val="000000" w:themeColor="text1"/>
          <w:sz w:val="32"/>
          <w:szCs w:val="32"/>
          <w:lang w:eastAsia="zh-CN"/>
        </w:rPr>
        <w:t>2025年</w:t>
      </w:r>
      <w:r>
        <w:rPr>
          <w:rStyle w:val="9"/>
          <w:rFonts w:hint="eastAsia" w:ascii="黑体" w:eastAsia="黑体"/>
          <w:b w:val="0"/>
          <w:color w:val="000000" w:themeColor="text1"/>
          <w:sz w:val="32"/>
          <w:szCs w:val="32"/>
        </w:rPr>
        <w:t>丽水市老年活动中心单位预算安排情况说明</w:t>
      </w:r>
      <w:r>
        <w:rPr>
          <w:rFonts w:hint="eastAsia"/>
          <w:color w:val="000000" w:themeColor="text1"/>
          <w:sz w:val="32"/>
          <w:szCs w:val="32"/>
        </w:rPr>
        <w:br w:type="textWrapping"/>
      </w:r>
      <w:r>
        <w:rPr>
          <w:rFonts w:hint="eastAsia" w:ascii="仿宋_GB2312" w:eastAsia="仿宋_GB2312"/>
          <w:b/>
          <w:bCs/>
          <w:color w:val="000000" w:themeColor="text1"/>
          <w:sz w:val="32"/>
          <w:szCs w:val="32"/>
        </w:rPr>
        <w:t>　　</w:t>
      </w:r>
      <w:r>
        <w:rPr>
          <w:rFonts w:hint="eastAsia" w:ascii="楷体_GB2312" w:hAnsi="楷体_GB2312" w:eastAsia="楷体_GB2312" w:cs="楷体_GB2312"/>
          <w:color w:val="000000" w:themeColor="text1"/>
          <w:sz w:val="32"/>
          <w:szCs w:val="32"/>
        </w:rPr>
        <w:t>（一）关于丽水市老年活动中心</w:t>
      </w:r>
      <w:r>
        <w:rPr>
          <w:rStyle w:val="9"/>
          <w:rFonts w:hint="eastAsia" w:ascii="楷体_GB2312" w:hAnsi="楷体_GB2312" w:eastAsia="楷体_GB2312" w:cs="楷体_GB2312"/>
          <w:b w:val="0"/>
          <w:bCs w:val="0"/>
          <w:color w:val="000000" w:themeColor="text1"/>
          <w:sz w:val="32"/>
          <w:szCs w:val="32"/>
          <w:lang w:eastAsia="zh-CN"/>
        </w:rPr>
        <w:t>2025年</w:t>
      </w:r>
      <w:r>
        <w:rPr>
          <w:rStyle w:val="9"/>
          <w:rFonts w:hint="eastAsia" w:ascii="楷体_GB2312" w:hAnsi="楷体_GB2312" w:eastAsia="楷体_GB2312" w:cs="楷体_GB2312"/>
          <w:b w:val="0"/>
          <w:bCs w:val="0"/>
          <w:color w:val="000000" w:themeColor="text1"/>
          <w:sz w:val="32"/>
          <w:szCs w:val="32"/>
        </w:rPr>
        <w:t>收支预算情况的总体说明</w:t>
      </w:r>
    </w:p>
    <w:p>
      <w:pPr>
        <w:spacing w:line="520" w:lineRule="exact"/>
        <w:ind w:firstLine="630"/>
        <w:rPr>
          <w:rFonts w:hint="eastAsia" w:ascii="仿宋_GB2312" w:hAnsi="仿宋_GB2312" w:eastAsia="仿宋_GB2312" w:cs="仿宋_GB2312"/>
          <w:color w:val="000000" w:themeColor="text1"/>
          <w:kern w:val="0"/>
          <w:sz w:val="32"/>
          <w:szCs w:val="32"/>
          <w:highlight w:val="none"/>
          <w:lang w:val="en-US" w:eastAsia="zh-CN" w:bidi="ar-SA"/>
        </w:rPr>
      </w:pPr>
      <w:r>
        <w:rPr>
          <w:rFonts w:hint="eastAsia" w:ascii="仿宋_GB2312" w:hAnsi="仿宋_GB2312" w:eastAsia="仿宋_GB2312" w:cs="仿宋_GB2312"/>
          <w:color w:val="000000" w:themeColor="text1"/>
          <w:kern w:val="0"/>
          <w:sz w:val="32"/>
          <w:szCs w:val="32"/>
          <w:highlight w:val="none"/>
          <w:lang w:val="en-US" w:eastAsia="zh-CN" w:bidi="ar-SA"/>
        </w:rPr>
        <w:t>按照综合预算的原则，丽水市老年活动中心所有收入和支出均纳入部门预算管理。收入包括：</w:t>
      </w:r>
      <w:r>
        <w:rPr>
          <w:rFonts w:hint="eastAsia" w:ascii="仿宋_GB2312" w:eastAsia="仿宋_GB2312"/>
          <w:color w:val="000000" w:themeColor="text1"/>
          <w:sz w:val="32"/>
          <w:szCs w:val="32"/>
        </w:rPr>
        <w:t>一般公共预算拨款收入</w:t>
      </w: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highlight w:val="none"/>
          <w:lang w:eastAsia="zh-CN"/>
        </w:rPr>
        <w:t>政府性基金预算收入，</w:t>
      </w:r>
      <w:r>
        <w:rPr>
          <w:rFonts w:hint="eastAsia" w:ascii="仿宋_GB2312" w:eastAsia="仿宋_GB2312"/>
          <w:color w:val="000000" w:themeColor="text1"/>
          <w:sz w:val="32"/>
          <w:szCs w:val="32"/>
        </w:rPr>
        <w:t>202</w:t>
      </w:r>
      <w:r>
        <w:rPr>
          <w:rFonts w:hint="eastAsia" w:ascii="仿宋_GB2312" w:eastAsia="仿宋_GB2312"/>
          <w:color w:val="000000" w:themeColor="text1"/>
          <w:sz w:val="32"/>
          <w:szCs w:val="32"/>
          <w:lang w:val="en-US" w:eastAsia="zh-CN"/>
        </w:rPr>
        <w:t>5</w:t>
      </w:r>
      <w:r>
        <w:rPr>
          <w:rFonts w:hint="eastAsia" w:ascii="仿宋_GB2312" w:eastAsia="仿宋_GB2312"/>
          <w:color w:val="000000" w:themeColor="text1"/>
          <w:sz w:val="32"/>
          <w:szCs w:val="32"/>
        </w:rPr>
        <w:t>年收支总预算</w:t>
      </w:r>
      <w:r>
        <w:rPr>
          <w:rFonts w:hint="eastAsia" w:ascii="仿宋_GB2312" w:eastAsia="仿宋_GB2312"/>
          <w:color w:val="000000" w:themeColor="text1"/>
          <w:sz w:val="32"/>
          <w:szCs w:val="32"/>
          <w:lang w:val="en-US" w:eastAsia="zh-CN"/>
        </w:rPr>
        <w:t>223.26</w:t>
      </w:r>
      <w:r>
        <w:rPr>
          <w:rFonts w:hint="eastAsia" w:ascii="仿宋_GB2312" w:eastAsia="仿宋_GB2312"/>
          <w:color w:val="000000" w:themeColor="text1"/>
          <w:sz w:val="32"/>
          <w:szCs w:val="32"/>
        </w:rPr>
        <w:t>万元。</w:t>
      </w:r>
    </w:p>
    <w:p>
      <w:pPr>
        <w:numPr>
          <w:ilvl w:val="0"/>
          <w:numId w:val="0"/>
        </w:numPr>
        <w:spacing w:line="520" w:lineRule="exact"/>
        <w:ind w:firstLine="640" w:firstLineChars="200"/>
        <w:rPr>
          <w:rFonts w:hint="eastAsia"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lang w:eastAsia="zh-CN"/>
        </w:rPr>
        <w:t>（</w:t>
      </w:r>
      <w:r>
        <w:rPr>
          <w:rFonts w:hint="eastAsia" w:ascii="楷体_GB2312" w:hAnsi="楷体_GB2312" w:eastAsia="楷体_GB2312" w:cs="楷体_GB2312"/>
          <w:bCs/>
          <w:color w:val="000000" w:themeColor="text1"/>
          <w:sz w:val="32"/>
          <w:szCs w:val="32"/>
          <w:lang w:val="en-US" w:eastAsia="zh-CN"/>
        </w:rPr>
        <w:t>二</w:t>
      </w:r>
      <w:r>
        <w:rPr>
          <w:rFonts w:hint="eastAsia" w:ascii="楷体_GB2312" w:hAnsi="楷体_GB2312" w:eastAsia="楷体_GB2312" w:cs="楷体_GB2312"/>
          <w:bCs/>
          <w:color w:val="000000" w:themeColor="text1"/>
          <w:sz w:val="32"/>
          <w:szCs w:val="32"/>
          <w:lang w:eastAsia="zh-CN"/>
        </w:rPr>
        <w:t>）</w:t>
      </w:r>
      <w:r>
        <w:rPr>
          <w:rFonts w:hint="eastAsia" w:ascii="楷体_GB2312" w:hAnsi="楷体_GB2312" w:eastAsia="楷体_GB2312" w:cs="楷体_GB2312"/>
          <w:bCs/>
          <w:color w:val="000000" w:themeColor="text1"/>
          <w:sz w:val="32"/>
          <w:szCs w:val="32"/>
        </w:rPr>
        <w:t>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收入预算情况说明</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ind w:firstLine="640" w:firstLineChars="200"/>
        <w:textAlignment w:val="auto"/>
        <w:rPr>
          <w:color w:val="000000" w:themeColor="text1"/>
          <w:highlight w:val="none"/>
        </w:rPr>
      </w:pPr>
      <w:r>
        <w:rPr>
          <w:rFonts w:hint="eastAsia" w:ascii="仿宋_GB2312" w:hAnsi="仿宋_GB2312" w:eastAsia="仿宋_GB2312" w:cs="仿宋_GB2312"/>
          <w:color w:val="000000" w:themeColor="text1"/>
          <w:sz w:val="32"/>
          <w:szCs w:val="32"/>
          <w:highlight w:val="none"/>
        </w:rPr>
        <w:t>丽水市老年活动中心</w:t>
      </w:r>
      <w:r>
        <w:rPr>
          <w:rFonts w:hint="eastAsia" w:ascii="仿宋_GB2312" w:hAnsi="仿宋_GB2312" w:eastAsia="仿宋_GB2312" w:cs="仿宋_GB2312"/>
          <w:color w:val="000000" w:themeColor="text1"/>
          <w:sz w:val="32"/>
          <w:szCs w:val="32"/>
          <w:highlight w:val="none"/>
          <w:lang w:eastAsia="zh-CN"/>
        </w:rPr>
        <w:t>2025年</w:t>
      </w:r>
      <w:r>
        <w:rPr>
          <w:rFonts w:hint="eastAsia" w:ascii="仿宋_GB2312" w:hAnsi="仿宋_GB2312" w:eastAsia="仿宋_GB2312" w:cs="仿宋_GB2312"/>
          <w:color w:val="000000" w:themeColor="text1"/>
          <w:sz w:val="32"/>
          <w:szCs w:val="32"/>
          <w:highlight w:val="none"/>
        </w:rPr>
        <w:t>收入预算223.26万元，比上年执行数增加</w:t>
      </w:r>
      <w:r>
        <w:rPr>
          <w:rFonts w:hint="eastAsia" w:cs="仿宋_GB2312"/>
          <w:color w:val="000000" w:themeColor="text1"/>
          <w:sz w:val="32"/>
          <w:szCs w:val="32"/>
          <w:highlight w:val="none"/>
          <w:lang w:val="en-US" w:eastAsia="zh-CN"/>
        </w:rPr>
        <w:t>20</w:t>
      </w:r>
      <w:r>
        <w:rPr>
          <w:rFonts w:hint="eastAsia" w:ascii="仿宋_GB2312" w:hAnsi="仿宋_GB2312" w:eastAsia="仿宋_GB2312" w:cs="仿宋_GB2312"/>
          <w:color w:val="000000" w:themeColor="text1"/>
          <w:sz w:val="32"/>
          <w:szCs w:val="32"/>
          <w:highlight w:val="none"/>
        </w:rPr>
        <w:t>万元，</w:t>
      </w:r>
      <w:r>
        <w:rPr>
          <w:rFonts w:hint="eastAsia" w:ascii="仿宋_GB2312" w:hAnsi="仿宋_GB2312" w:eastAsia="仿宋_GB2312" w:cs="仿宋_GB2312"/>
          <w:color w:val="000000" w:themeColor="text1"/>
          <w:sz w:val="32"/>
          <w:highlight w:val="none"/>
        </w:rPr>
        <w:t>增</w:t>
      </w:r>
      <w:r>
        <w:rPr>
          <w:rFonts w:hint="eastAsia" w:ascii="仿宋_GB2312" w:hAnsi="仿宋_GB2312" w:eastAsia="仿宋_GB2312" w:cs="仿宋_GB2312"/>
          <w:color w:val="000000" w:themeColor="text1"/>
          <w:sz w:val="32"/>
          <w:szCs w:val="32"/>
          <w:highlight w:val="none"/>
        </w:rPr>
        <w:t>长</w:t>
      </w:r>
      <w:r>
        <w:rPr>
          <w:rFonts w:hint="eastAsia" w:cs="仿宋_GB2312"/>
          <w:color w:val="000000" w:themeColor="text1"/>
          <w:sz w:val="32"/>
          <w:szCs w:val="32"/>
          <w:highlight w:val="none"/>
          <w:lang w:val="en-US" w:eastAsia="zh-CN"/>
        </w:rPr>
        <w:t>9.84</w:t>
      </w:r>
      <w:r>
        <w:rPr>
          <w:rFonts w:hint="eastAsia" w:ascii="仿宋_GB2312" w:hAnsi="仿宋_GB2312" w:eastAsia="仿宋_GB2312" w:cs="仿宋_GB2312"/>
          <w:color w:val="000000" w:themeColor="text1"/>
          <w:sz w:val="32"/>
          <w:highlight w:val="none"/>
        </w:rPr>
        <w:t>%，</w:t>
      </w:r>
      <w:r>
        <w:rPr>
          <w:rFonts w:hint="eastAsia" w:ascii="仿宋_GB2312" w:hAnsi="仿宋_GB2312" w:eastAsia="仿宋_GB2312" w:cs="仿宋_GB2312"/>
          <w:color w:val="000000" w:themeColor="text1"/>
          <w:sz w:val="32"/>
          <w:szCs w:val="32"/>
          <w:highlight w:val="none"/>
        </w:rPr>
        <w:t>主要是</w:t>
      </w:r>
      <w:r>
        <w:rPr>
          <w:rFonts w:hint="eastAsia" w:ascii="仿宋_GB2312" w:eastAsia="仿宋_GB2312"/>
          <w:color w:val="000000" w:themeColor="text1"/>
          <w:sz w:val="32"/>
          <w:szCs w:val="32"/>
          <w:highlight w:val="none"/>
          <w:lang w:eastAsia="zh-CN"/>
        </w:rPr>
        <w:t>政府性基金</w:t>
      </w:r>
      <w:r>
        <w:rPr>
          <w:rFonts w:hint="eastAsia"/>
          <w:color w:val="000000" w:themeColor="text1"/>
          <w:sz w:val="32"/>
          <w:szCs w:val="32"/>
          <w:highlight w:val="none"/>
          <w:lang w:eastAsia="zh-CN"/>
        </w:rPr>
        <w:t>预算收入。</w:t>
      </w:r>
    </w:p>
    <w:p>
      <w:pPr>
        <w:spacing w:line="520" w:lineRule="exact"/>
        <w:ind w:firstLine="642"/>
        <w:rPr>
          <w:rFonts w:hint="eastAsia" w:ascii="楷体_GB2312" w:hAnsi="楷体_GB2312" w:eastAsia="楷体_GB2312" w:cs="楷体_GB2312"/>
          <w:bCs/>
          <w:color w:val="000000" w:themeColor="text1"/>
          <w:sz w:val="32"/>
          <w:szCs w:val="32"/>
        </w:rPr>
      </w:pPr>
      <w:r>
        <w:rPr>
          <w:rFonts w:hint="eastAsia" w:ascii="仿宋_GB2312" w:hAnsi="仿宋_GB2312" w:eastAsia="仿宋_GB2312" w:cs="仿宋_GB2312"/>
          <w:color w:val="000000" w:themeColor="text1"/>
          <w:kern w:val="0"/>
          <w:sz w:val="32"/>
          <w:szCs w:val="32"/>
          <w:highlight w:val="none"/>
          <w:lang w:val="en-US" w:eastAsia="zh-CN" w:bidi="ar-SA"/>
        </w:rPr>
        <w:t>其中：一般公共预算拨款收入173.26万元，占77.6%；政府性基金收入50.00万元，占22.4%。</w:t>
      </w:r>
      <w:r>
        <w:rPr>
          <w:rFonts w:hint="eastAsia" w:ascii="仿宋_GB2312" w:eastAsia="仿宋_GB2312"/>
          <w:color w:val="000000" w:themeColor="text1"/>
          <w:sz w:val="32"/>
          <w:szCs w:val="32"/>
        </w:rPr>
        <w:br w:type="textWrapping"/>
      </w:r>
      <w:r>
        <w:rPr>
          <w:rFonts w:hint="eastAsia" w:ascii="楷体_GB2312" w:hAnsi="楷体_GB2312" w:eastAsia="楷体_GB2312" w:cs="楷体_GB2312"/>
          <w:bCs/>
          <w:color w:val="000000" w:themeColor="text1"/>
          <w:sz w:val="32"/>
          <w:szCs w:val="32"/>
        </w:rPr>
        <w:t>　　（三）关于丽水市老年活动中心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支出预算情况说明</w:t>
      </w:r>
    </w:p>
    <w:p>
      <w:pPr>
        <w:pStyle w:val="2"/>
        <w:keepNext w:val="0"/>
        <w:keepLines w:val="0"/>
        <w:pageBreakBefore w:val="0"/>
        <w:widowControl w:val="0"/>
        <w:numPr>
          <w:ilvl w:val="0"/>
          <w:numId w:val="0"/>
        </w:numPr>
        <w:kinsoku/>
        <w:wordWrap/>
        <w:overflowPunct/>
        <w:topLinePunct w:val="0"/>
        <w:autoSpaceDE w:val="0"/>
        <w:autoSpaceDN w:val="0"/>
        <w:bidi w:val="0"/>
        <w:adjustRightInd w:val="0"/>
        <w:snapToGrid/>
        <w:ind w:firstLine="640" w:firstLineChars="200"/>
        <w:textAlignment w:val="auto"/>
        <w:rPr>
          <w:rFonts w:ascii="仿宋_GB2312" w:eastAsia="仿宋_GB2312"/>
          <w:color w:val="000000" w:themeColor="text1"/>
          <w:sz w:val="32"/>
          <w:szCs w:val="32"/>
        </w:rPr>
      </w:pPr>
      <w:r>
        <w:rPr>
          <w:rFonts w:hint="eastAsia" w:ascii="仿宋_GB2312" w:hAnsi="仿宋_GB2312" w:eastAsia="仿宋_GB2312" w:cs="仿宋_GB2312"/>
          <w:color w:val="000000" w:themeColor="text1"/>
          <w:sz w:val="32"/>
          <w:szCs w:val="32"/>
          <w:highlight w:val="none"/>
        </w:rPr>
        <w:t>丽水市老年活动中心</w:t>
      </w:r>
      <w:r>
        <w:rPr>
          <w:rFonts w:hint="eastAsia" w:ascii="仿宋_GB2312" w:hAnsi="仿宋_GB2312" w:eastAsia="仿宋_GB2312" w:cs="仿宋_GB2312"/>
          <w:color w:val="000000" w:themeColor="text1"/>
          <w:sz w:val="32"/>
          <w:szCs w:val="32"/>
          <w:highlight w:val="none"/>
          <w:lang w:eastAsia="zh-CN"/>
        </w:rPr>
        <w:t>2025年</w:t>
      </w:r>
      <w:r>
        <w:rPr>
          <w:rFonts w:hint="eastAsia" w:cs="仿宋_GB2312"/>
          <w:color w:val="000000" w:themeColor="text1"/>
          <w:sz w:val="32"/>
          <w:szCs w:val="32"/>
          <w:highlight w:val="none"/>
          <w:lang w:eastAsia="zh-CN"/>
        </w:rPr>
        <w:t>支出</w:t>
      </w:r>
      <w:r>
        <w:rPr>
          <w:rFonts w:hint="eastAsia" w:ascii="仿宋_GB2312" w:hAnsi="仿宋_GB2312" w:eastAsia="仿宋_GB2312" w:cs="仿宋_GB2312"/>
          <w:color w:val="000000" w:themeColor="text1"/>
          <w:sz w:val="32"/>
          <w:szCs w:val="32"/>
          <w:highlight w:val="none"/>
        </w:rPr>
        <w:t>预算223.26万元，比上年执行数增加</w:t>
      </w:r>
      <w:r>
        <w:rPr>
          <w:rFonts w:hint="eastAsia" w:cs="仿宋_GB2312"/>
          <w:color w:val="000000" w:themeColor="text1"/>
          <w:sz w:val="32"/>
          <w:szCs w:val="32"/>
          <w:highlight w:val="none"/>
          <w:lang w:val="en-US" w:eastAsia="zh-CN"/>
        </w:rPr>
        <w:t>20</w:t>
      </w:r>
      <w:r>
        <w:rPr>
          <w:rFonts w:hint="eastAsia" w:ascii="仿宋_GB2312" w:hAnsi="仿宋_GB2312" w:eastAsia="仿宋_GB2312" w:cs="仿宋_GB2312"/>
          <w:color w:val="000000" w:themeColor="text1"/>
          <w:sz w:val="32"/>
          <w:szCs w:val="32"/>
          <w:highlight w:val="none"/>
        </w:rPr>
        <w:t>万元，</w:t>
      </w:r>
      <w:r>
        <w:rPr>
          <w:rFonts w:hint="eastAsia" w:ascii="仿宋_GB2312" w:hAnsi="仿宋_GB2312" w:eastAsia="仿宋_GB2312" w:cs="仿宋_GB2312"/>
          <w:color w:val="000000" w:themeColor="text1"/>
          <w:sz w:val="32"/>
          <w:highlight w:val="none"/>
        </w:rPr>
        <w:t>增</w:t>
      </w:r>
      <w:r>
        <w:rPr>
          <w:rFonts w:hint="eastAsia" w:ascii="仿宋_GB2312" w:hAnsi="仿宋_GB2312" w:eastAsia="仿宋_GB2312" w:cs="仿宋_GB2312"/>
          <w:color w:val="000000" w:themeColor="text1"/>
          <w:sz w:val="32"/>
          <w:szCs w:val="32"/>
          <w:highlight w:val="none"/>
        </w:rPr>
        <w:t>长</w:t>
      </w:r>
      <w:r>
        <w:rPr>
          <w:rFonts w:hint="eastAsia" w:cs="仿宋_GB2312"/>
          <w:color w:val="000000" w:themeColor="text1"/>
          <w:sz w:val="32"/>
          <w:szCs w:val="32"/>
          <w:highlight w:val="none"/>
          <w:lang w:val="en-US" w:eastAsia="zh-CN"/>
        </w:rPr>
        <w:t>9.84</w:t>
      </w:r>
      <w:r>
        <w:rPr>
          <w:rFonts w:hint="eastAsia" w:ascii="仿宋_GB2312" w:hAnsi="仿宋_GB2312" w:eastAsia="仿宋_GB2312" w:cs="仿宋_GB2312"/>
          <w:color w:val="000000" w:themeColor="text1"/>
          <w:sz w:val="32"/>
          <w:highlight w:val="none"/>
        </w:rPr>
        <w:t>%，</w:t>
      </w:r>
      <w:r>
        <w:rPr>
          <w:rFonts w:hint="eastAsia" w:ascii="仿宋_GB2312" w:hAnsi="仿宋_GB2312" w:eastAsia="仿宋_GB2312" w:cs="仿宋_GB2312"/>
          <w:color w:val="000000" w:themeColor="text1"/>
          <w:sz w:val="32"/>
          <w:szCs w:val="32"/>
          <w:highlight w:val="none"/>
        </w:rPr>
        <w:t>主要是</w:t>
      </w:r>
      <w:r>
        <w:rPr>
          <w:rFonts w:hint="eastAsia" w:ascii="仿宋_GB2312" w:eastAsia="仿宋_GB2312"/>
          <w:color w:val="000000" w:themeColor="text1"/>
          <w:sz w:val="32"/>
          <w:szCs w:val="32"/>
          <w:highlight w:val="none"/>
          <w:lang w:eastAsia="zh-CN"/>
        </w:rPr>
        <w:t>政府性基金</w:t>
      </w:r>
      <w:r>
        <w:rPr>
          <w:rFonts w:hint="eastAsia" w:cs="仿宋_GB2312"/>
          <w:color w:val="000000" w:themeColor="text1"/>
          <w:sz w:val="32"/>
          <w:szCs w:val="32"/>
          <w:highlight w:val="none"/>
          <w:lang w:eastAsia="zh-CN"/>
        </w:rPr>
        <w:t>比上年增加</w:t>
      </w:r>
      <w:r>
        <w:rPr>
          <w:rFonts w:hint="eastAsia" w:cs="仿宋_GB2312"/>
          <w:color w:val="000000" w:themeColor="text1"/>
          <w:sz w:val="32"/>
          <w:szCs w:val="32"/>
          <w:highlight w:val="none"/>
          <w:lang w:val="en-US" w:eastAsia="zh-CN"/>
        </w:rPr>
        <w:t>20万，增长66.7%</w:t>
      </w:r>
      <w:r>
        <w:rPr>
          <w:rFonts w:hint="eastAsia" w:ascii="仿宋_GB2312" w:hAnsi="仿宋_GB2312" w:eastAsia="仿宋_GB2312" w:cs="仿宋_GB2312"/>
          <w:color w:val="000000" w:themeColor="text1"/>
          <w:sz w:val="32"/>
          <w:szCs w:val="32"/>
          <w:highlight w:val="none"/>
        </w:rPr>
        <w:t>。</w:t>
      </w:r>
    </w:p>
    <w:p>
      <w:pPr>
        <w:spacing w:line="520" w:lineRule="exact"/>
        <w:ind w:firstLine="630"/>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rPr>
        <w:t>1.按支出功能分类，包括社会保障和就业支出169.10万元、卫生健康支出4.16万元、其他支出50.00万元</w:t>
      </w:r>
      <w:r>
        <w:rPr>
          <w:rFonts w:hint="eastAsia" w:ascii="仿宋_GB2312" w:eastAsia="仿宋_GB2312"/>
          <w:color w:val="000000" w:themeColor="text1"/>
          <w:sz w:val="32"/>
          <w:szCs w:val="32"/>
          <w:lang w:eastAsia="zh-CN"/>
        </w:rPr>
        <w:t>。</w:t>
      </w:r>
    </w:p>
    <w:p>
      <w:pPr>
        <w:spacing w:line="520" w:lineRule="exact"/>
        <w:ind w:firstLine="642"/>
        <w:rPr>
          <w:rFonts w:ascii="仿宋_GB2312" w:eastAsia="仿宋_GB2312"/>
          <w:color w:val="000000" w:themeColor="text1"/>
          <w:sz w:val="32"/>
          <w:szCs w:val="32"/>
        </w:rPr>
      </w:pPr>
      <w:r>
        <w:rPr>
          <w:rFonts w:hint="eastAsia" w:ascii="仿宋_GB2312" w:eastAsia="仿宋_GB2312"/>
          <w:color w:val="000000" w:themeColor="text1"/>
          <w:sz w:val="32"/>
          <w:szCs w:val="32"/>
        </w:rPr>
        <w:t>2.按支出用途分类，包括人员支出71.54万元，占32.0%；日常公用支出6.12万元，占2.7%；项目支出145.60万元，占65.2%</w:t>
      </w:r>
      <w:r>
        <w:rPr>
          <w:rFonts w:hint="eastAsia" w:ascii="仿宋_GB2312" w:eastAsia="仿宋_GB2312"/>
          <w:color w:val="000000" w:themeColor="text1"/>
          <w:sz w:val="32"/>
          <w:szCs w:val="32"/>
          <w:lang w:eastAsia="zh-CN"/>
        </w:rPr>
        <w:t>。</w:t>
      </w:r>
    </w:p>
    <w:p>
      <w:pPr>
        <w:spacing w:line="520" w:lineRule="exact"/>
        <w:ind w:firstLine="627" w:firstLineChars="196"/>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（四）关于丽水市老年活动中心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财政拨款收支预算情况的总体说明</w:t>
      </w:r>
    </w:p>
    <w:p>
      <w:pPr>
        <w:spacing w:line="520" w:lineRule="exact"/>
        <w:ind w:firstLine="640"/>
        <w:rPr>
          <w:rFonts w:ascii="仿宋_GB2312" w:eastAsia="仿宋_GB2312"/>
          <w:color w:val="000000" w:themeColor="text1"/>
          <w:sz w:val="32"/>
          <w:szCs w:val="32"/>
        </w:rPr>
      </w:pPr>
      <w:r>
        <w:rPr>
          <w:rFonts w:hint="eastAsia" w:ascii="仿宋_GB2312" w:eastAsia="仿宋_GB2312"/>
          <w:color w:val="000000" w:themeColor="text1"/>
          <w:sz w:val="32"/>
          <w:szCs w:val="32"/>
        </w:rPr>
        <w:t>丽水市老年活动中心</w:t>
      </w:r>
      <w:r>
        <w:rPr>
          <w:rFonts w:hint="eastAsia" w:ascii="仿宋_GB2312" w:eastAsia="仿宋_GB2312"/>
          <w:color w:val="000000" w:themeColor="text1"/>
          <w:sz w:val="32"/>
          <w:szCs w:val="32"/>
          <w:lang w:eastAsia="zh-CN"/>
        </w:rPr>
        <w:t>2025年</w:t>
      </w:r>
      <w:r>
        <w:rPr>
          <w:rFonts w:hint="eastAsia" w:ascii="仿宋_GB2312" w:eastAsia="仿宋_GB2312"/>
          <w:color w:val="000000" w:themeColor="text1"/>
          <w:sz w:val="32"/>
          <w:szCs w:val="32"/>
        </w:rPr>
        <w:t>财政拨款收支总预算223.26万元。收入包括：一般公共预算173.26万元、政府性基金50.00万元；支出包括：社会保障和就业支出169.10万元、卫生健康支出4.16万元、其他支出50.00万元。</w:t>
      </w:r>
    </w:p>
    <w:p>
      <w:pPr>
        <w:numPr>
          <w:ilvl w:val="0"/>
          <w:numId w:val="1"/>
        </w:numPr>
        <w:spacing w:line="520" w:lineRule="exact"/>
        <w:ind w:firstLine="640"/>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一般公共预算拨款情况说明</w:t>
      </w:r>
    </w:p>
    <w:p>
      <w:pPr>
        <w:spacing w:line="520" w:lineRule="exact"/>
        <w:ind w:firstLine="642"/>
        <w:rPr>
          <w:rFonts w:ascii="仿宋_GB2312" w:hAnsi="仿宋_GB2312" w:eastAsia="仿宋_GB2312" w:cs="仿宋_GB2312"/>
          <w:b/>
          <w:color w:val="000000" w:themeColor="text1"/>
          <w:sz w:val="32"/>
          <w:szCs w:val="32"/>
        </w:rPr>
      </w:pPr>
      <w:r>
        <w:rPr>
          <w:rFonts w:hint="eastAsia" w:ascii="仿宋_GB2312" w:hAnsi="仿宋_GB2312" w:eastAsia="仿宋_GB2312" w:cs="仿宋_GB2312"/>
          <w:b/>
          <w:color w:val="000000" w:themeColor="text1"/>
          <w:sz w:val="32"/>
          <w:szCs w:val="32"/>
        </w:rPr>
        <w:t>1.一般公共预算拨款规模变化情况。</w:t>
      </w:r>
    </w:p>
    <w:p>
      <w:pPr>
        <w:spacing w:line="520" w:lineRule="exact"/>
        <w:ind w:firstLine="642"/>
        <w:rPr>
          <w:rFonts w:hint="eastAsia" w:ascii="仿宋_GB2312" w:hAnsi="仿宋_GB2312" w:eastAsia="仿宋_GB2312" w:cs="仿宋_GB2312"/>
          <w:color w:val="000000" w:themeColor="text1"/>
          <w:kern w:val="0"/>
          <w:sz w:val="32"/>
          <w:szCs w:val="32"/>
          <w:highlight w:val="none"/>
          <w:lang w:val="en-US" w:eastAsia="zh-CN" w:bidi="ar-SA"/>
        </w:rPr>
      </w:pPr>
      <w:r>
        <w:rPr>
          <w:rFonts w:hint="eastAsia" w:ascii="仿宋_GB2312" w:hAnsi="仿宋_GB2312" w:eastAsia="仿宋_GB2312" w:cs="仿宋_GB2312"/>
          <w:color w:val="000000" w:themeColor="text1"/>
          <w:sz w:val="32"/>
          <w:szCs w:val="32"/>
          <w:highlight w:val="none"/>
          <w:lang w:val="en-US" w:eastAsia="zh-CN"/>
        </w:rPr>
        <w:t>丽水市老年活动中心2025年一般公共预算拨款173.26万元，</w:t>
      </w:r>
      <w:r>
        <w:rPr>
          <w:rFonts w:hint="eastAsia" w:ascii="仿宋_GB2312" w:hAnsi="仿宋_GB2312" w:eastAsia="仿宋_GB2312" w:cs="仿宋_GB2312"/>
          <w:color w:val="000000" w:themeColor="text1"/>
          <w:sz w:val="32"/>
          <w:szCs w:val="32"/>
          <w:highlight w:val="none"/>
        </w:rPr>
        <w:t>与上年持平</w:t>
      </w:r>
      <w:r>
        <w:rPr>
          <w:rFonts w:hint="eastAsia" w:ascii="仿宋_GB2312" w:hAnsi="仿宋_GB2312" w:eastAsia="仿宋_GB2312" w:cs="仿宋_GB2312"/>
          <w:color w:val="000000" w:themeColor="text1"/>
          <w:sz w:val="32"/>
          <w:szCs w:val="32"/>
          <w:highlight w:val="none"/>
          <w:lang w:val="en-US" w:eastAsia="zh-CN"/>
        </w:rPr>
        <w:t>。</w:t>
      </w:r>
    </w:p>
    <w:p>
      <w:pPr>
        <w:spacing w:line="520" w:lineRule="exact"/>
        <w:ind w:firstLine="642"/>
        <w:rPr>
          <w:rFonts w:ascii="仿宋_GB2312" w:hAnsi="仿宋_GB2312" w:eastAsia="仿宋_GB2312" w:cs="仿宋_GB2312"/>
          <w:b/>
          <w:color w:val="000000" w:themeColor="text1"/>
          <w:sz w:val="32"/>
          <w:szCs w:val="32"/>
        </w:rPr>
      </w:pPr>
      <w:r>
        <w:rPr>
          <w:rFonts w:hint="eastAsia" w:ascii="仿宋_GB2312" w:hAnsi="仿宋_GB2312" w:eastAsia="仿宋_GB2312" w:cs="仿宋_GB2312"/>
          <w:b/>
          <w:color w:val="000000" w:themeColor="text1"/>
          <w:sz w:val="32"/>
          <w:szCs w:val="32"/>
        </w:rPr>
        <w:t>2.一般公共预算拨款结构情况。</w:t>
      </w:r>
    </w:p>
    <w:p>
      <w:pPr>
        <w:spacing w:line="520" w:lineRule="exact"/>
        <w:ind w:firstLine="640" w:firstLineChars="200"/>
        <w:rPr>
          <w:rFonts w:ascii="仿宋_GB2312" w:hAnsi="仿宋_GB2312" w:eastAsia="仿宋_GB2312" w:cs="仿宋_GB2312"/>
          <w:b/>
          <w:color w:val="000000" w:themeColor="text1"/>
          <w:sz w:val="32"/>
          <w:szCs w:val="32"/>
        </w:rPr>
      </w:pPr>
      <w:r>
        <w:rPr>
          <w:rFonts w:hint="eastAsia" w:ascii="仿宋_GB2312" w:hAnsi="仿宋_GB2312" w:eastAsia="仿宋_GB2312" w:cs="仿宋_GB2312"/>
          <w:color w:val="000000" w:themeColor="text1"/>
          <w:sz w:val="32"/>
          <w:szCs w:val="32"/>
        </w:rPr>
        <w:t>社会保障和就业支出169.10万元，占97.6%；卫生健康支出4.16万元，占2.4%；</w:t>
      </w:r>
    </w:p>
    <w:p>
      <w:pPr>
        <w:spacing w:line="520" w:lineRule="exact"/>
        <w:ind w:firstLine="642"/>
        <w:rPr>
          <w:rFonts w:ascii="仿宋_GB2312" w:hAnsi="仿宋_GB2312" w:eastAsia="仿宋_GB2312" w:cs="仿宋_GB2312"/>
          <w:b/>
          <w:color w:val="000000" w:themeColor="text1"/>
          <w:sz w:val="32"/>
          <w:szCs w:val="32"/>
        </w:rPr>
      </w:pPr>
      <w:r>
        <w:rPr>
          <w:rFonts w:hint="eastAsia" w:ascii="仿宋_GB2312" w:hAnsi="仿宋_GB2312" w:eastAsia="仿宋_GB2312" w:cs="仿宋_GB2312"/>
          <w:b/>
          <w:color w:val="000000" w:themeColor="text1"/>
          <w:sz w:val="32"/>
          <w:szCs w:val="32"/>
        </w:rPr>
        <w:t>3.一般公共预算拨款具体使用情况。</w:t>
      </w:r>
    </w:p>
    <w:p>
      <w:pPr>
        <w:spacing w:line="520" w:lineRule="exact"/>
        <w:ind w:firstLine="640"/>
        <w:rPr>
          <w:rFonts w:hint="eastAsia" w:ascii="仿宋_GB2312" w:hAnsi="仿宋_GB2312" w:eastAsia="仿宋_GB2312" w:cs="仿宋_GB2312"/>
          <w:color w:val="000000" w:themeColor="text1"/>
          <w:sz w:val="32"/>
          <w:szCs w:val="32"/>
          <w:lang w:eastAsia="zh-CN"/>
        </w:rPr>
      </w:pP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1</w:t>
      </w:r>
      <w:r>
        <w:rPr>
          <w:rFonts w:hint="eastAsia" w:ascii="仿宋_GB2312" w:hAnsi="仿宋_GB2312" w:eastAsia="仿宋_GB2312" w:cs="仿宋_GB2312"/>
          <w:color w:val="000000" w:themeColor="text1"/>
          <w:sz w:val="32"/>
          <w:szCs w:val="32"/>
          <w:lang w:eastAsia="zh-CN"/>
        </w:rPr>
        <w:t>）</w:t>
      </w:r>
      <w:r>
        <w:rPr>
          <w:rFonts w:hint="eastAsia" w:ascii="仿宋_GB2312" w:hAnsi="仿宋_GB2312" w:eastAsia="仿宋_GB2312" w:cs="仿宋_GB2312"/>
          <w:color w:val="000000" w:themeColor="text1"/>
          <w:sz w:val="32"/>
          <w:szCs w:val="32"/>
        </w:rPr>
        <w:t>社会保障和就业支出（类）</w:t>
      </w:r>
      <w:r>
        <w:rPr>
          <w:rFonts w:hint="eastAsia" w:ascii="仿宋_GB2312" w:hAnsi="仿宋_GB2312" w:eastAsia="仿宋_GB2312" w:cs="仿宋_GB2312"/>
          <w:color w:val="000000" w:themeColor="text1"/>
          <w:sz w:val="32"/>
          <w:szCs w:val="32"/>
          <w:lang w:eastAsia="zh-CN"/>
        </w:rPr>
        <w:t>民政管理事务</w:t>
      </w:r>
      <w:r>
        <w:rPr>
          <w:rFonts w:hint="eastAsia" w:ascii="仿宋_GB2312" w:hAnsi="仿宋_GB2312" w:eastAsia="仿宋_GB2312" w:cs="仿宋_GB2312"/>
          <w:color w:val="000000" w:themeColor="text1"/>
          <w:sz w:val="32"/>
          <w:szCs w:val="32"/>
        </w:rPr>
        <w:t>（款）</w:t>
      </w:r>
      <w:r>
        <w:rPr>
          <w:rFonts w:hint="eastAsia" w:ascii="仿宋_GB2312" w:hAnsi="仿宋_GB2312" w:eastAsia="仿宋_GB2312" w:cs="仿宋_GB2312"/>
          <w:color w:val="000000" w:themeColor="text1"/>
          <w:sz w:val="32"/>
          <w:szCs w:val="32"/>
          <w:lang w:eastAsia="zh-CN"/>
        </w:rPr>
        <w:t>其他民政管理事务支出</w:t>
      </w:r>
      <w:r>
        <w:rPr>
          <w:rFonts w:hint="eastAsia" w:ascii="仿宋_GB2312" w:hAnsi="仿宋_GB2312" w:eastAsia="仿宋_GB2312" w:cs="仿宋_GB2312"/>
          <w:color w:val="000000" w:themeColor="text1"/>
          <w:sz w:val="32"/>
          <w:szCs w:val="32"/>
        </w:rPr>
        <w:t>（项）</w:t>
      </w:r>
      <w:r>
        <w:rPr>
          <w:rFonts w:hint="eastAsia" w:ascii="仿宋_GB2312" w:hAnsi="仿宋_GB2312" w:eastAsia="仿宋_GB2312" w:cs="仿宋_GB2312"/>
          <w:color w:val="000000" w:themeColor="text1"/>
          <w:sz w:val="32"/>
          <w:szCs w:val="32"/>
          <w:lang w:val="en-US" w:eastAsia="zh-CN"/>
        </w:rPr>
        <w:t>66.33</w:t>
      </w:r>
      <w:r>
        <w:rPr>
          <w:rFonts w:hint="eastAsia" w:ascii="仿宋_GB2312" w:hAnsi="仿宋_GB2312" w:eastAsia="仿宋_GB2312" w:cs="仿宋_GB2312"/>
          <w:color w:val="000000" w:themeColor="text1"/>
          <w:sz w:val="32"/>
          <w:szCs w:val="32"/>
        </w:rPr>
        <w:t>万元，主要用于</w:t>
      </w:r>
      <w:r>
        <w:rPr>
          <w:rFonts w:hint="eastAsia" w:ascii="仿宋_GB2312" w:hAnsi="仿宋_GB2312" w:eastAsia="仿宋_GB2312" w:cs="仿宋_GB2312"/>
          <w:color w:val="000000" w:themeColor="text1"/>
          <w:sz w:val="32"/>
          <w:szCs w:val="32"/>
          <w:lang w:eastAsia="zh-CN"/>
        </w:rPr>
        <w:t>其他民政管理事务支出。</w:t>
      </w:r>
    </w:p>
    <w:p>
      <w:pPr>
        <w:spacing w:line="520" w:lineRule="exact"/>
        <w:ind w:firstLine="64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2</w:t>
      </w:r>
      <w:r>
        <w:rPr>
          <w:rFonts w:hint="eastAsia" w:ascii="仿宋_GB2312" w:hAnsi="仿宋_GB2312" w:eastAsia="仿宋_GB2312" w:cs="仿宋_GB2312"/>
          <w:color w:val="000000" w:themeColor="text1"/>
          <w:sz w:val="32"/>
          <w:szCs w:val="32"/>
        </w:rPr>
        <w:t>）社会保障和就业支出（类）行政事业单位养老支出（款）机关事业单位基本养老保险缴费支出（项）</w:t>
      </w:r>
      <w:r>
        <w:rPr>
          <w:rFonts w:hint="eastAsia" w:ascii="仿宋_GB2312" w:hAnsi="仿宋_GB2312" w:eastAsia="仿宋_GB2312" w:cs="仿宋_GB2312"/>
          <w:color w:val="000000" w:themeColor="text1"/>
          <w:sz w:val="32"/>
          <w:szCs w:val="32"/>
          <w:lang w:val="en-US" w:eastAsia="zh-CN"/>
        </w:rPr>
        <w:t>4.35</w:t>
      </w:r>
      <w:r>
        <w:rPr>
          <w:rFonts w:hint="eastAsia" w:ascii="仿宋_GB2312" w:hAnsi="仿宋_GB2312" w:eastAsia="仿宋_GB2312" w:cs="仿宋_GB2312"/>
          <w:color w:val="000000" w:themeColor="text1"/>
          <w:sz w:val="32"/>
          <w:szCs w:val="32"/>
        </w:rPr>
        <w:t>万元，主要用于单位缴纳的基本养老保险支出。</w:t>
      </w:r>
    </w:p>
    <w:p>
      <w:pPr>
        <w:spacing w:line="520" w:lineRule="exact"/>
        <w:ind w:firstLine="640"/>
        <w:rPr>
          <w:rFonts w:hint="eastAsia" w:ascii="仿宋_GB2312" w:hAnsi="仿宋_GB2312" w:eastAsia="仿宋_GB2312" w:cs="仿宋_GB2312"/>
          <w:color w:val="000000" w:themeColor="text1"/>
          <w:kern w:val="2"/>
          <w:sz w:val="32"/>
          <w:szCs w:val="32"/>
          <w:lang w:val="en-US" w:eastAsia="zh-CN" w:bidi="ar-SA"/>
        </w:rPr>
      </w:pPr>
      <w:r>
        <w:rPr>
          <w:rFonts w:hint="eastAsia" w:ascii="仿宋_GB2312" w:hAnsi="仿宋_GB2312" w:eastAsia="仿宋_GB2312" w:cs="仿宋_GB2312"/>
          <w:color w:val="000000" w:themeColor="text1"/>
          <w:kern w:val="2"/>
          <w:sz w:val="32"/>
          <w:szCs w:val="32"/>
          <w:lang w:val="en-US" w:eastAsia="zh-CN" w:bidi="ar-SA"/>
        </w:rPr>
        <w:t>（3）</w:t>
      </w:r>
      <w:r>
        <w:rPr>
          <w:rFonts w:hint="eastAsia" w:ascii="仿宋_GB2312" w:hAnsi="仿宋_GB2312" w:eastAsia="仿宋_GB2312" w:cs="仿宋_GB2312"/>
          <w:color w:val="000000" w:themeColor="text1"/>
          <w:sz w:val="32"/>
          <w:szCs w:val="32"/>
        </w:rPr>
        <w:t>社会保障和就业支出（类）行政事业单位养老支出（款）机关事业单位</w:t>
      </w:r>
      <w:r>
        <w:rPr>
          <w:rFonts w:hint="eastAsia" w:ascii="仿宋_GB2312" w:hAnsi="仿宋_GB2312" w:eastAsia="仿宋_GB2312" w:cs="仿宋_GB2312"/>
          <w:color w:val="000000" w:themeColor="text1"/>
          <w:sz w:val="32"/>
          <w:szCs w:val="32"/>
          <w:lang w:eastAsia="zh-CN"/>
        </w:rPr>
        <w:t>职业年金缴费支出</w:t>
      </w:r>
      <w:r>
        <w:rPr>
          <w:rFonts w:hint="eastAsia" w:ascii="仿宋_GB2312" w:hAnsi="仿宋_GB2312" w:eastAsia="仿宋_GB2312" w:cs="仿宋_GB2312"/>
          <w:color w:val="000000" w:themeColor="text1"/>
          <w:sz w:val="32"/>
          <w:szCs w:val="32"/>
        </w:rPr>
        <w:t>（项）</w:t>
      </w:r>
      <w:r>
        <w:rPr>
          <w:rFonts w:hint="eastAsia" w:ascii="仿宋_GB2312" w:hAnsi="仿宋_GB2312" w:eastAsia="仿宋_GB2312" w:cs="仿宋_GB2312"/>
          <w:color w:val="000000" w:themeColor="text1"/>
          <w:sz w:val="32"/>
          <w:szCs w:val="32"/>
          <w:lang w:val="en-US" w:eastAsia="zh-CN"/>
        </w:rPr>
        <w:t>2.17</w:t>
      </w:r>
      <w:r>
        <w:rPr>
          <w:rFonts w:hint="eastAsia" w:ascii="仿宋_GB2312" w:hAnsi="仿宋_GB2312" w:eastAsia="仿宋_GB2312" w:cs="仿宋_GB2312"/>
          <w:color w:val="000000" w:themeColor="text1"/>
          <w:sz w:val="32"/>
          <w:szCs w:val="32"/>
        </w:rPr>
        <w:t>万元，主要用于单位</w:t>
      </w:r>
      <w:r>
        <w:rPr>
          <w:rFonts w:hint="eastAsia" w:ascii="仿宋_GB2312" w:hAnsi="仿宋_GB2312" w:eastAsia="仿宋_GB2312" w:cs="仿宋_GB2312"/>
          <w:color w:val="000000" w:themeColor="text1"/>
          <w:sz w:val="32"/>
          <w:szCs w:val="32"/>
          <w:lang w:eastAsia="zh-CN"/>
        </w:rPr>
        <w:t>职业年金缴费支出</w:t>
      </w:r>
      <w:r>
        <w:rPr>
          <w:rFonts w:hint="eastAsia" w:ascii="仿宋_GB2312" w:hAnsi="仿宋_GB2312" w:eastAsia="仿宋_GB2312" w:cs="仿宋_GB2312"/>
          <w:color w:val="000000" w:themeColor="text1"/>
          <w:sz w:val="32"/>
          <w:szCs w:val="32"/>
        </w:rPr>
        <w:t>。</w:t>
      </w:r>
    </w:p>
    <w:p>
      <w:pPr>
        <w:spacing w:line="520" w:lineRule="exact"/>
        <w:ind w:firstLine="64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4</w:t>
      </w:r>
      <w:r>
        <w:rPr>
          <w:rFonts w:hint="eastAsia" w:ascii="仿宋_GB2312" w:hAnsi="仿宋_GB2312" w:eastAsia="仿宋_GB2312" w:cs="仿宋_GB2312"/>
          <w:color w:val="000000" w:themeColor="text1"/>
          <w:sz w:val="32"/>
          <w:szCs w:val="32"/>
        </w:rPr>
        <w:t>）社会保障和就业支出（类）</w:t>
      </w:r>
      <w:r>
        <w:rPr>
          <w:rFonts w:hint="eastAsia" w:ascii="仿宋_GB2312" w:hAnsi="仿宋_GB2312" w:eastAsia="仿宋_GB2312" w:cs="仿宋_GB2312"/>
          <w:color w:val="000000" w:themeColor="text1"/>
          <w:sz w:val="32"/>
          <w:szCs w:val="32"/>
          <w:lang w:eastAsia="zh-CN"/>
        </w:rPr>
        <w:t>社会福利</w:t>
      </w:r>
      <w:r>
        <w:rPr>
          <w:rFonts w:hint="eastAsia" w:ascii="仿宋_GB2312" w:hAnsi="仿宋_GB2312" w:eastAsia="仿宋_GB2312" w:cs="仿宋_GB2312"/>
          <w:color w:val="000000" w:themeColor="text1"/>
          <w:sz w:val="32"/>
          <w:szCs w:val="32"/>
        </w:rPr>
        <w:t>（款）</w:t>
      </w:r>
      <w:r>
        <w:rPr>
          <w:rFonts w:hint="eastAsia" w:ascii="仿宋_GB2312" w:hAnsi="仿宋_GB2312" w:eastAsia="仿宋_GB2312" w:cs="仿宋_GB2312"/>
          <w:color w:val="000000" w:themeColor="text1"/>
          <w:sz w:val="32"/>
          <w:szCs w:val="32"/>
          <w:lang w:eastAsia="zh-CN"/>
        </w:rPr>
        <w:t>老年福利</w:t>
      </w:r>
      <w:r>
        <w:rPr>
          <w:rFonts w:hint="eastAsia" w:ascii="仿宋_GB2312" w:hAnsi="仿宋_GB2312" w:eastAsia="仿宋_GB2312" w:cs="仿宋_GB2312"/>
          <w:color w:val="000000" w:themeColor="text1"/>
          <w:sz w:val="32"/>
          <w:szCs w:val="32"/>
        </w:rPr>
        <w:t>（项）</w:t>
      </w:r>
      <w:r>
        <w:rPr>
          <w:rFonts w:hint="eastAsia" w:ascii="仿宋_GB2312" w:hAnsi="仿宋_GB2312" w:eastAsia="仿宋_GB2312" w:cs="仿宋_GB2312"/>
          <w:color w:val="000000" w:themeColor="text1"/>
          <w:sz w:val="32"/>
          <w:szCs w:val="32"/>
          <w:lang w:val="en-US" w:eastAsia="zh-CN"/>
        </w:rPr>
        <w:t>95.6</w:t>
      </w:r>
      <w:r>
        <w:rPr>
          <w:rFonts w:hint="eastAsia" w:ascii="仿宋_GB2312" w:hAnsi="仿宋_GB2312" w:eastAsia="仿宋_GB2312" w:cs="仿宋_GB2312"/>
          <w:color w:val="000000" w:themeColor="text1"/>
          <w:sz w:val="32"/>
          <w:szCs w:val="32"/>
        </w:rPr>
        <w:t>万元，主要用于</w:t>
      </w:r>
      <w:r>
        <w:rPr>
          <w:rFonts w:hint="eastAsia" w:ascii="仿宋_GB2312" w:hAnsi="仿宋_GB2312" w:eastAsia="仿宋_GB2312" w:cs="仿宋_GB2312"/>
          <w:color w:val="000000" w:themeColor="text1"/>
          <w:sz w:val="32"/>
          <w:szCs w:val="32"/>
          <w:lang w:eastAsia="zh-CN"/>
        </w:rPr>
        <w:t>老年福利支出</w:t>
      </w:r>
      <w:r>
        <w:rPr>
          <w:rFonts w:hint="eastAsia" w:ascii="仿宋_GB2312" w:hAnsi="仿宋_GB2312" w:eastAsia="仿宋_GB2312" w:cs="仿宋_GB2312"/>
          <w:color w:val="000000" w:themeColor="text1"/>
          <w:sz w:val="32"/>
          <w:szCs w:val="32"/>
        </w:rPr>
        <w:t>。</w:t>
      </w:r>
    </w:p>
    <w:p>
      <w:pPr>
        <w:spacing w:line="520" w:lineRule="exact"/>
        <w:ind w:firstLine="64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5</w:t>
      </w:r>
      <w:r>
        <w:rPr>
          <w:rFonts w:hint="eastAsia" w:ascii="仿宋_GB2312" w:hAnsi="仿宋_GB2312" w:eastAsia="仿宋_GB2312" w:cs="仿宋_GB2312"/>
          <w:color w:val="000000" w:themeColor="text1"/>
          <w:sz w:val="32"/>
          <w:szCs w:val="32"/>
        </w:rPr>
        <w:t>）社会保障和就业支出（类）</w:t>
      </w:r>
      <w:r>
        <w:rPr>
          <w:rFonts w:hint="eastAsia" w:ascii="仿宋_GB2312" w:hAnsi="仿宋_GB2312" w:eastAsia="仿宋_GB2312" w:cs="仿宋_GB2312"/>
          <w:color w:val="000000" w:themeColor="text1"/>
          <w:sz w:val="32"/>
          <w:szCs w:val="32"/>
          <w:lang w:eastAsia="zh-CN"/>
        </w:rPr>
        <w:t>其他社会保障和就业支出</w:t>
      </w:r>
      <w:r>
        <w:rPr>
          <w:rFonts w:hint="eastAsia" w:ascii="仿宋_GB2312" w:hAnsi="仿宋_GB2312" w:eastAsia="仿宋_GB2312" w:cs="仿宋_GB2312"/>
          <w:color w:val="000000" w:themeColor="text1"/>
          <w:sz w:val="32"/>
          <w:szCs w:val="32"/>
        </w:rPr>
        <w:t>（款）</w:t>
      </w:r>
      <w:r>
        <w:rPr>
          <w:rFonts w:hint="eastAsia" w:ascii="仿宋_GB2312" w:hAnsi="仿宋_GB2312" w:eastAsia="仿宋_GB2312" w:cs="仿宋_GB2312"/>
          <w:color w:val="000000" w:themeColor="text1"/>
          <w:sz w:val="32"/>
          <w:szCs w:val="32"/>
          <w:lang w:eastAsia="zh-CN"/>
        </w:rPr>
        <w:t>其他社会保障和就业支出</w:t>
      </w:r>
      <w:r>
        <w:rPr>
          <w:rFonts w:hint="eastAsia" w:ascii="仿宋_GB2312" w:hAnsi="仿宋_GB2312" w:eastAsia="仿宋_GB2312" w:cs="仿宋_GB2312"/>
          <w:color w:val="000000" w:themeColor="text1"/>
          <w:sz w:val="32"/>
          <w:szCs w:val="32"/>
        </w:rPr>
        <w:t>（项）</w:t>
      </w:r>
      <w:r>
        <w:rPr>
          <w:rFonts w:hint="eastAsia" w:ascii="仿宋_GB2312" w:hAnsi="仿宋_GB2312" w:eastAsia="仿宋_GB2312" w:cs="仿宋_GB2312"/>
          <w:color w:val="000000" w:themeColor="text1"/>
          <w:sz w:val="32"/>
          <w:szCs w:val="32"/>
          <w:lang w:val="en-US" w:eastAsia="zh-CN"/>
        </w:rPr>
        <w:t>0.65</w:t>
      </w:r>
      <w:r>
        <w:rPr>
          <w:rFonts w:hint="eastAsia" w:ascii="仿宋_GB2312" w:hAnsi="仿宋_GB2312" w:eastAsia="仿宋_GB2312" w:cs="仿宋_GB2312"/>
          <w:color w:val="000000" w:themeColor="text1"/>
          <w:sz w:val="32"/>
          <w:szCs w:val="32"/>
        </w:rPr>
        <w:t>万元，主要用于</w:t>
      </w:r>
      <w:r>
        <w:rPr>
          <w:rFonts w:hint="eastAsia" w:ascii="仿宋_GB2312" w:hAnsi="仿宋_GB2312" w:eastAsia="仿宋_GB2312" w:cs="仿宋_GB2312"/>
          <w:color w:val="000000" w:themeColor="text1"/>
          <w:sz w:val="32"/>
          <w:szCs w:val="32"/>
          <w:lang w:eastAsia="zh-CN"/>
        </w:rPr>
        <w:t>其他社会保障和就业支出</w:t>
      </w:r>
      <w:r>
        <w:rPr>
          <w:rFonts w:hint="eastAsia" w:ascii="仿宋_GB2312" w:hAnsi="仿宋_GB2312" w:eastAsia="仿宋_GB2312" w:cs="仿宋_GB2312"/>
          <w:color w:val="000000" w:themeColor="text1"/>
          <w:sz w:val="32"/>
          <w:szCs w:val="32"/>
        </w:rPr>
        <w:t>。</w:t>
      </w:r>
    </w:p>
    <w:p>
      <w:pPr>
        <w:spacing w:line="520" w:lineRule="exact"/>
        <w:ind w:firstLine="64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6</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eastAsia="zh-CN"/>
        </w:rPr>
        <w:t>卫生健康支出</w:t>
      </w:r>
      <w:r>
        <w:rPr>
          <w:rFonts w:hint="eastAsia" w:ascii="仿宋_GB2312" w:hAnsi="仿宋_GB2312" w:eastAsia="仿宋_GB2312" w:cs="仿宋_GB2312"/>
          <w:color w:val="000000" w:themeColor="text1"/>
          <w:sz w:val="32"/>
          <w:szCs w:val="32"/>
        </w:rPr>
        <w:t>（类）</w:t>
      </w:r>
      <w:r>
        <w:rPr>
          <w:rFonts w:hint="eastAsia" w:ascii="仿宋_GB2312" w:hAnsi="仿宋_GB2312" w:eastAsia="仿宋_GB2312" w:cs="仿宋_GB2312"/>
          <w:color w:val="000000" w:themeColor="text1"/>
          <w:sz w:val="32"/>
          <w:szCs w:val="32"/>
          <w:lang w:eastAsia="zh-CN"/>
        </w:rPr>
        <w:t>行政事业单位医疗</w:t>
      </w:r>
      <w:r>
        <w:rPr>
          <w:rFonts w:hint="eastAsia" w:ascii="仿宋_GB2312" w:hAnsi="仿宋_GB2312" w:eastAsia="仿宋_GB2312" w:cs="仿宋_GB2312"/>
          <w:color w:val="000000" w:themeColor="text1"/>
          <w:sz w:val="32"/>
          <w:szCs w:val="32"/>
        </w:rPr>
        <w:t>（款）</w:t>
      </w:r>
      <w:r>
        <w:rPr>
          <w:rFonts w:hint="eastAsia" w:ascii="仿宋_GB2312" w:hAnsi="仿宋_GB2312" w:eastAsia="仿宋_GB2312" w:cs="仿宋_GB2312"/>
          <w:color w:val="000000" w:themeColor="text1"/>
          <w:sz w:val="32"/>
          <w:szCs w:val="32"/>
          <w:lang w:eastAsia="zh-CN"/>
        </w:rPr>
        <w:t>事业单位医疗</w:t>
      </w:r>
      <w:r>
        <w:rPr>
          <w:rFonts w:hint="eastAsia" w:ascii="仿宋_GB2312" w:hAnsi="仿宋_GB2312" w:eastAsia="仿宋_GB2312" w:cs="仿宋_GB2312"/>
          <w:color w:val="000000" w:themeColor="text1"/>
          <w:sz w:val="32"/>
          <w:szCs w:val="32"/>
        </w:rPr>
        <w:t>（项）</w:t>
      </w:r>
      <w:r>
        <w:rPr>
          <w:rFonts w:hint="eastAsia" w:ascii="仿宋_GB2312" w:hAnsi="仿宋_GB2312" w:eastAsia="仿宋_GB2312" w:cs="仿宋_GB2312"/>
          <w:color w:val="000000" w:themeColor="text1"/>
          <w:sz w:val="32"/>
          <w:szCs w:val="32"/>
          <w:lang w:val="en-US" w:eastAsia="zh-CN"/>
        </w:rPr>
        <w:t>4.16</w:t>
      </w:r>
      <w:r>
        <w:rPr>
          <w:rFonts w:hint="eastAsia" w:ascii="仿宋_GB2312" w:hAnsi="仿宋_GB2312" w:eastAsia="仿宋_GB2312" w:cs="仿宋_GB2312"/>
          <w:color w:val="000000" w:themeColor="text1"/>
          <w:sz w:val="32"/>
          <w:szCs w:val="32"/>
        </w:rPr>
        <w:t>万元，主要用于</w:t>
      </w:r>
      <w:r>
        <w:rPr>
          <w:rFonts w:hint="eastAsia" w:ascii="仿宋_GB2312" w:hAnsi="仿宋_GB2312" w:eastAsia="仿宋_GB2312" w:cs="仿宋_GB2312"/>
          <w:color w:val="000000" w:themeColor="text1"/>
          <w:sz w:val="32"/>
          <w:szCs w:val="32"/>
          <w:lang w:eastAsia="zh-CN"/>
        </w:rPr>
        <w:t>事业单位医疗支出</w:t>
      </w:r>
      <w:r>
        <w:rPr>
          <w:rFonts w:hint="eastAsia" w:ascii="仿宋_GB2312" w:hAnsi="仿宋_GB2312" w:eastAsia="仿宋_GB2312" w:cs="仿宋_GB2312"/>
          <w:color w:val="000000" w:themeColor="text1"/>
          <w:sz w:val="32"/>
          <w:szCs w:val="32"/>
        </w:rPr>
        <w:t>。</w:t>
      </w:r>
    </w:p>
    <w:p>
      <w:pPr>
        <w:spacing w:line="520" w:lineRule="exact"/>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 xml:space="preserve">    （六）关于丽水市老年活动中心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一般公共预算基本支出情况说明</w:t>
      </w:r>
    </w:p>
    <w:p>
      <w:pPr>
        <w:spacing w:line="520" w:lineRule="exact"/>
        <w:ind w:firstLine="642"/>
        <w:rPr>
          <w:rFonts w:ascii="仿宋_GB2312" w:eastAsia="仿宋_GB2312"/>
          <w:color w:val="000000" w:themeColor="text1"/>
          <w:sz w:val="32"/>
          <w:szCs w:val="32"/>
        </w:rPr>
      </w:pPr>
      <w:r>
        <w:rPr>
          <w:rFonts w:hint="eastAsia" w:ascii="仿宋_GB2312" w:eastAsia="仿宋_GB2312"/>
          <w:color w:val="000000" w:themeColor="text1"/>
          <w:sz w:val="32"/>
          <w:szCs w:val="32"/>
        </w:rPr>
        <w:t>丽水市老年活动中心</w:t>
      </w:r>
      <w:r>
        <w:rPr>
          <w:rFonts w:hint="eastAsia" w:ascii="仿宋_GB2312" w:eastAsia="仿宋_GB2312"/>
          <w:color w:val="000000" w:themeColor="text1"/>
          <w:sz w:val="32"/>
          <w:szCs w:val="32"/>
          <w:lang w:eastAsia="zh-CN"/>
        </w:rPr>
        <w:t>2025年</w:t>
      </w:r>
      <w:r>
        <w:rPr>
          <w:rFonts w:hint="eastAsia" w:ascii="仿宋_GB2312" w:eastAsia="仿宋_GB2312"/>
          <w:color w:val="000000" w:themeColor="text1"/>
          <w:sz w:val="32"/>
          <w:szCs w:val="32"/>
        </w:rPr>
        <w:t>一般公共预算基本支出77.66万元，其中：</w:t>
      </w:r>
    </w:p>
    <w:p>
      <w:pPr>
        <w:spacing w:line="520" w:lineRule="exact"/>
        <w:ind w:firstLine="642"/>
        <w:rPr>
          <w:rFonts w:ascii="仿宋_GB2312" w:eastAsia="仿宋_GB2312"/>
          <w:color w:val="000000" w:themeColor="text1"/>
          <w:sz w:val="32"/>
          <w:szCs w:val="32"/>
        </w:rPr>
      </w:pPr>
      <w:r>
        <w:rPr>
          <w:rFonts w:hint="eastAsia" w:ascii="仿宋_GB2312" w:eastAsia="仿宋_GB2312"/>
          <w:color w:val="000000" w:themeColor="text1"/>
          <w:sz w:val="32"/>
          <w:szCs w:val="32"/>
        </w:rPr>
        <w:t>人员</w:t>
      </w:r>
      <w:r>
        <w:rPr>
          <w:rFonts w:hint="eastAsia" w:ascii="仿宋_GB2312" w:eastAsia="仿宋_GB2312"/>
          <w:color w:val="000000" w:themeColor="text1"/>
          <w:sz w:val="32"/>
          <w:szCs w:val="32"/>
          <w:lang w:val="en-US" w:eastAsia="zh-CN"/>
        </w:rPr>
        <w:t>支出</w:t>
      </w:r>
      <w:r>
        <w:rPr>
          <w:rFonts w:hint="eastAsia" w:ascii="仿宋_GB2312" w:eastAsia="仿宋_GB2312"/>
          <w:color w:val="000000" w:themeColor="text1"/>
          <w:sz w:val="32"/>
          <w:szCs w:val="32"/>
        </w:rPr>
        <w:t>71.54万元，主要包括：基本工资、津贴补贴、奖金、绩效工资、机关事业单位基本养老保险缴费、职业年金缴费、职工基本医疗保险缴费、公务员医疗补助缴费、其他社会保障缴费、住房公积金、医疗费、其他工资福利支出；</w:t>
      </w:r>
    </w:p>
    <w:p>
      <w:pPr>
        <w:spacing w:line="520" w:lineRule="exact"/>
        <w:ind w:firstLine="642"/>
        <w:rPr>
          <w:rFonts w:hint="default" w:ascii="仿宋_GB2312" w:eastAsia="仿宋_GB2312"/>
          <w:color w:val="000000" w:themeColor="text1"/>
          <w:sz w:val="32"/>
          <w:szCs w:val="32"/>
          <w:lang w:val="en-US" w:eastAsia="zh-CN"/>
        </w:rPr>
      </w:pPr>
      <w:r>
        <w:rPr>
          <w:rFonts w:hint="eastAsia" w:ascii="仿宋_GB2312" w:eastAsia="仿宋_GB2312"/>
          <w:color w:val="000000" w:themeColor="text1"/>
          <w:sz w:val="32"/>
          <w:szCs w:val="32"/>
          <w:lang w:val="en-US" w:eastAsia="zh-CN"/>
        </w:rPr>
        <w:t>日常</w:t>
      </w:r>
      <w:r>
        <w:rPr>
          <w:rFonts w:hint="eastAsia" w:ascii="仿宋_GB2312" w:eastAsia="仿宋_GB2312"/>
          <w:color w:val="000000" w:themeColor="text1"/>
          <w:sz w:val="32"/>
          <w:szCs w:val="32"/>
        </w:rPr>
        <w:t>公用</w:t>
      </w:r>
      <w:r>
        <w:rPr>
          <w:rFonts w:hint="eastAsia" w:ascii="仿宋_GB2312" w:eastAsia="仿宋_GB2312"/>
          <w:color w:val="000000" w:themeColor="text1"/>
          <w:sz w:val="32"/>
          <w:szCs w:val="32"/>
          <w:lang w:val="en-US" w:eastAsia="zh-CN"/>
        </w:rPr>
        <w:t>支出</w:t>
      </w:r>
      <w:r>
        <w:rPr>
          <w:rFonts w:hint="eastAsia" w:ascii="仿宋_GB2312" w:eastAsia="仿宋_GB2312"/>
          <w:color w:val="000000" w:themeColor="text1"/>
          <w:sz w:val="32"/>
          <w:szCs w:val="32"/>
        </w:rPr>
        <w:t>6.12万元，主要包括：办公费</w:t>
      </w:r>
      <w:r>
        <w:rPr>
          <w:rFonts w:hint="eastAsia" w:ascii="仿宋_GB2312" w:eastAsia="仿宋_GB2312"/>
          <w:color w:val="000000" w:themeColor="text1"/>
          <w:sz w:val="32"/>
          <w:szCs w:val="32"/>
          <w:lang w:eastAsia="zh-CN"/>
        </w:rPr>
        <w:t>、邮电费、差旅费、公务接待费、工会经费、福利费、其他商品和服务支出。</w:t>
      </w:r>
    </w:p>
    <w:p>
      <w:pPr>
        <w:spacing w:line="520" w:lineRule="exact"/>
        <w:ind w:firstLine="642"/>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（七）关于丽水市老年活动中心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政府性基金预算支出情况说明</w:t>
      </w:r>
    </w:p>
    <w:p>
      <w:pPr>
        <w:spacing w:line="520" w:lineRule="exact"/>
        <w:ind w:firstLine="642"/>
        <w:rPr>
          <w:rFonts w:ascii="仿宋_GB2312" w:hAnsi="仿宋_GB2312" w:eastAsia="仿宋_GB2312" w:cs="仿宋_GB2312"/>
          <w:b/>
          <w:color w:val="000000" w:themeColor="text1"/>
          <w:sz w:val="32"/>
          <w:szCs w:val="32"/>
        </w:rPr>
      </w:pPr>
      <w:r>
        <w:rPr>
          <w:rFonts w:hint="eastAsia" w:ascii="仿宋_GB2312" w:hAnsi="仿宋_GB2312" w:eastAsia="仿宋_GB2312" w:cs="仿宋_GB2312"/>
          <w:b/>
          <w:color w:val="000000" w:themeColor="text1"/>
          <w:sz w:val="32"/>
          <w:szCs w:val="32"/>
        </w:rPr>
        <w:t>1.政府性基金预算拨款规模变化情况。</w:t>
      </w:r>
    </w:p>
    <w:p>
      <w:pPr>
        <w:spacing w:line="520" w:lineRule="exact"/>
        <w:ind w:firstLine="642"/>
        <w:rPr>
          <w:rFonts w:hint="eastAsia" w:ascii="仿宋_GB2312" w:hAnsi="仿宋_GB2312" w:eastAsia="仿宋_GB2312" w:cs="仿宋_GB2312"/>
          <w:color w:val="000000" w:themeColor="text1"/>
          <w:kern w:val="0"/>
          <w:sz w:val="32"/>
          <w:szCs w:val="32"/>
          <w:highlight w:val="none"/>
          <w:lang w:val="en-US" w:eastAsia="zh-CN" w:bidi="ar-SA"/>
        </w:rPr>
      </w:pPr>
      <w:r>
        <w:rPr>
          <w:rFonts w:hint="eastAsia" w:ascii="仿宋_GB2312" w:hAnsi="仿宋_GB2312" w:eastAsia="仿宋_GB2312" w:cs="仿宋_GB2312"/>
          <w:color w:val="000000" w:themeColor="text1"/>
          <w:kern w:val="0"/>
          <w:sz w:val="32"/>
          <w:szCs w:val="32"/>
          <w:highlight w:val="none"/>
          <w:lang w:val="en-US" w:eastAsia="zh-CN" w:bidi="ar-SA"/>
        </w:rPr>
        <w:t>丽水市老年活动中心2025年政府性基金预算拨款50.00万元，比上年执行数增加20万元，增长66.7%，主要是老年文体活动服务委托项目支出增加。</w:t>
      </w:r>
    </w:p>
    <w:p>
      <w:pPr>
        <w:spacing w:line="520" w:lineRule="exact"/>
        <w:ind w:firstLine="642"/>
        <w:rPr>
          <w:rFonts w:ascii="仿宋_GB2312" w:hAnsi="仿宋_GB2312" w:eastAsia="仿宋_GB2312" w:cs="仿宋_GB2312"/>
          <w:b/>
          <w:color w:val="000000" w:themeColor="text1"/>
          <w:sz w:val="32"/>
          <w:szCs w:val="32"/>
        </w:rPr>
      </w:pPr>
      <w:r>
        <w:rPr>
          <w:rFonts w:hint="eastAsia" w:ascii="仿宋_GB2312" w:hAnsi="仿宋_GB2312" w:eastAsia="仿宋_GB2312" w:cs="仿宋_GB2312"/>
          <w:b/>
          <w:color w:val="000000" w:themeColor="text1"/>
          <w:sz w:val="32"/>
          <w:szCs w:val="32"/>
        </w:rPr>
        <w:t>2.政府性基金预算拨款结构情况。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其他支出50.00万元，占100.0%。</w:t>
      </w:r>
    </w:p>
    <w:p>
      <w:pPr>
        <w:spacing w:line="520" w:lineRule="exact"/>
        <w:rPr>
          <w:rFonts w:ascii="仿宋_GB2312" w:hAnsi="仿宋_GB2312" w:eastAsia="仿宋_GB2312" w:cs="仿宋_GB2312"/>
          <w:b/>
          <w:color w:val="000000" w:themeColor="text1"/>
          <w:sz w:val="32"/>
          <w:szCs w:val="32"/>
        </w:rPr>
      </w:pPr>
      <w:r>
        <w:rPr>
          <w:rFonts w:hint="eastAsia" w:ascii="仿宋_GB2312" w:hAnsi="仿宋_GB2312" w:eastAsia="仿宋_GB2312" w:cs="仿宋_GB2312"/>
          <w:b/>
          <w:color w:val="000000" w:themeColor="text1"/>
          <w:sz w:val="32"/>
          <w:szCs w:val="32"/>
        </w:rPr>
        <w:t xml:space="preserve">  3.政府性基金预算拨款具体使用情况。</w:t>
      </w:r>
    </w:p>
    <w:p>
      <w:pPr>
        <w:spacing w:line="520" w:lineRule="exact"/>
        <w:ind w:firstLine="64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w:t>
      </w:r>
      <w:r>
        <w:rPr>
          <w:rFonts w:hint="eastAsia" w:ascii="仿宋_GB2312" w:eastAsia="仿宋_GB2312"/>
          <w:color w:val="000000" w:themeColor="text1"/>
          <w:sz w:val="32"/>
          <w:szCs w:val="32"/>
          <w:highlight w:val="none"/>
        </w:rPr>
        <w:t>其他支出（类）彩票公益金安排的支出（款）用于社会福利的彩票公益金支出</w:t>
      </w:r>
      <w:r>
        <w:rPr>
          <w:rFonts w:hint="eastAsia" w:ascii="仿宋_GB2312" w:eastAsia="仿宋_GB2312"/>
          <w:color w:val="000000" w:themeColor="text1"/>
          <w:sz w:val="32"/>
          <w:szCs w:val="32"/>
          <w:highlight w:val="none"/>
          <w:lang w:eastAsia="zh-CN"/>
        </w:rPr>
        <w:t>（项）</w:t>
      </w:r>
      <w:r>
        <w:rPr>
          <w:rFonts w:hint="eastAsia" w:ascii="仿宋_GB2312" w:eastAsia="仿宋_GB2312"/>
          <w:color w:val="000000" w:themeColor="text1"/>
          <w:sz w:val="32"/>
          <w:szCs w:val="32"/>
          <w:highlight w:val="none"/>
          <w:lang w:val="en-US" w:eastAsia="zh-CN"/>
        </w:rPr>
        <w:t>50</w:t>
      </w:r>
      <w:r>
        <w:rPr>
          <w:rFonts w:hint="eastAsia" w:ascii="仿宋_GB2312" w:eastAsia="仿宋_GB2312"/>
          <w:color w:val="000000" w:themeColor="text1"/>
          <w:sz w:val="32"/>
          <w:szCs w:val="32"/>
          <w:highlight w:val="none"/>
        </w:rPr>
        <w:t>万元，主要用于</w:t>
      </w:r>
      <w:r>
        <w:rPr>
          <w:rFonts w:hint="eastAsia" w:ascii="仿宋_GB2312" w:hAnsi="仿宋_GB2312" w:eastAsia="仿宋_GB2312" w:cs="仿宋_GB2312"/>
          <w:color w:val="000000" w:themeColor="text1"/>
          <w:kern w:val="0"/>
          <w:sz w:val="32"/>
          <w:szCs w:val="32"/>
          <w:highlight w:val="none"/>
          <w:lang w:val="en-US" w:eastAsia="zh-CN" w:bidi="ar-SA"/>
        </w:rPr>
        <w:t>老年文体活动服务委托项目等支出</w:t>
      </w:r>
      <w:r>
        <w:rPr>
          <w:rFonts w:hint="eastAsia" w:ascii="仿宋_GB2312" w:hAnsi="仿宋_GB2312" w:eastAsia="仿宋_GB2312" w:cs="仿宋_GB2312"/>
          <w:color w:val="000000" w:themeColor="text1"/>
          <w:sz w:val="32"/>
          <w:szCs w:val="32"/>
        </w:rPr>
        <w:t>。</w:t>
      </w:r>
    </w:p>
    <w:p>
      <w:pPr>
        <w:spacing w:line="520" w:lineRule="exact"/>
        <w:ind w:firstLine="642"/>
        <w:rPr>
          <w:rFonts w:hint="eastAsia" w:ascii="楷体_GB2312" w:hAnsi="楷体_GB2312" w:eastAsia="楷体_GB2312" w:cs="楷体_GB2312"/>
          <w:bCs/>
          <w:color w:val="000000" w:themeColor="text1"/>
          <w:sz w:val="32"/>
          <w:szCs w:val="32"/>
          <w:highlight w:val="none"/>
          <w:lang w:val="en-US" w:eastAsia="zh-CN"/>
        </w:rPr>
      </w:pPr>
      <w:r>
        <w:rPr>
          <w:rFonts w:hint="eastAsia" w:ascii="楷体_GB2312" w:hAnsi="楷体_GB2312" w:eastAsia="楷体_GB2312" w:cs="楷体_GB2312"/>
          <w:bCs/>
          <w:color w:val="000000" w:themeColor="text1"/>
          <w:sz w:val="32"/>
          <w:szCs w:val="32"/>
          <w:highlight w:val="none"/>
          <w:lang w:val="en-US" w:eastAsia="zh-CN"/>
        </w:rPr>
        <w:t>（八）关于丽水市老年活动中心2025年国有资本经营预算支出情况说明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color w:val="000000" w:themeColor="text1"/>
          <w:sz w:val="32"/>
          <w:szCs w:val="32"/>
          <w:lang w:val="en-US" w:eastAsia="zh-CN"/>
        </w:rPr>
        <w:t>丽水市老年活动中心2025年没有使用国有资本经营预算拨款安排的支出</w:t>
      </w:r>
      <w:r>
        <w:rPr>
          <w:rFonts w:hint="eastAsia" w:ascii="仿宋_GB2312" w:hAnsi="仿宋_GB2312" w:eastAsia="仿宋_GB2312" w:cs="仿宋_GB2312"/>
          <w:color w:val="000000" w:themeColor="text1"/>
          <w:sz w:val="32"/>
          <w:szCs w:val="32"/>
          <w:highlight w:val="none"/>
        </w:rPr>
        <w:t>，与上年持平</w:t>
      </w:r>
      <w:r>
        <w:rPr>
          <w:rFonts w:hint="eastAsia" w:ascii="仿宋_GB2312" w:hAnsi="仿宋_GB2312" w:eastAsia="仿宋_GB2312" w:cs="仿宋_GB2312"/>
          <w:color w:val="000000" w:themeColor="text1"/>
          <w:sz w:val="32"/>
          <w:szCs w:val="32"/>
          <w:lang w:val="en-US" w:eastAsia="zh-CN"/>
        </w:rPr>
        <w:t>。</w:t>
      </w:r>
    </w:p>
    <w:p>
      <w:pPr>
        <w:spacing w:line="520" w:lineRule="exact"/>
        <w:ind w:firstLine="627" w:firstLineChars="196"/>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（九）关于丽水市老年活动中心</w:t>
      </w:r>
      <w:r>
        <w:rPr>
          <w:rFonts w:hint="eastAsia" w:ascii="楷体_GB2312" w:hAnsi="楷体_GB2312" w:eastAsia="楷体_GB2312" w:cs="楷体_GB2312"/>
          <w:bCs/>
          <w:color w:val="000000" w:themeColor="text1"/>
          <w:sz w:val="32"/>
          <w:szCs w:val="32"/>
          <w:lang w:eastAsia="zh-CN"/>
        </w:rPr>
        <w:t>2025年</w:t>
      </w:r>
      <w:r>
        <w:rPr>
          <w:rFonts w:hint="eastAsia" w:ascii="楷体_GB2312" w:hAnsi="楷体_GB2312" w:eastAsia="楷体_GB2312" w:cs="楷体_GB2312"/>
          <w:bCs/>
          <w:color w:val="000000" w:themeColor="text1"/>
          <w:sz w:val="32"/>
          <w:szCs w:val="32"/>
        </w:rPr>
        <w:t>一般公共预算“三公”经费预算情况说明</w:t>
      </w:r>
    </w:p>
    <w:p>
      <w:pPr>
        <w:spacing w:line="520" w:lineRule="exact"/>
        <w:ind w:firstLine="640" w:firstLineChars="200"/>
        <w:rPr>
          <w:rFonts w:hint="eastAsia" w:ascii="仿宋_GB2312" w:hAnsi="仿宋_GB2312" w:eastAsia="仿宋_GB2312"/>
          <w:color w:val="000000" w:themeColor="text1"/>
          <w:sz w:val="32"/>
        </w:rPr>
      </w:pPr>
      <w:r>
        <w:rPr>
          <w:rFonts w:hint="eastAsia" w:ascii="仿宋_GB2312" w:hAnsi="仿宋_GB2312" w:eastAsia="仿宋_GB2312"/>
          <w:color w:val="000000" w:themeColor="text1"/>
          <w:sz w:val="32"/>
        </w:rPr>
        <w:t>丽水市老年活动中心</w:t>
      </w:r>
      <w:r>
        <w:rPr>
          <w:rFonts w:hint="eastAsia" w:ascii="仿宋_GB2312" w:hAnsi="仿宋_GB2312" w:eastAsia="仿宋_GB2312"/>
          <w:color w:val="000000" w:themeColor="text1"/>
          <w:sz w:val="32"/>
          <w:lang w:eastAsia="zh-CN"/>
        </w:rPr>
        <w:t>2025年</w:t>
      </w:r>
      <w:r>
        <w:rPr>
          <w:rFonts w:hint="eastAsia" w:ascii="仿宋_GB2312" w:hAnsi="仿宋_GB2312" w:eastAsia="仿宋_GB2312"/>
          <w:color w:val="000000" w:themeColor="text1"/>
          <w:sz w:val="32"/>
        </w:rPr>
        <w:t>“三公”经费预算数为0.3万元，</w:t>
      </w:r>
      <w:r>
        <w:rPr>
          <w:rFonts w:hint="eastAsia" w:ascii="仿宋_GB2312" w:hAnsi="仿宋_GB2312" w:eastAsia="仿宋_GB2312"/>
          <w:color w:val="000000" w:themeColor="text1"/>
          <w:sz w:val="32"/>
          <w:shd w:val="clear" w:color="auto" w:fill="FFFFFF"/>
        </w:rPr>
        <w:t>比上年预算数增加</w:t>
      </w:r>
      <w:r>
        <w:rPr>
          <w:rFonts w:hint="eastAsia" w:ascii="仿宋_GB2312" w:hAnsi="仿宋_GB2312" w:eastAsia="仿宋_GB2312"/>
          <w:color w:val="000000" w:themeColor="text1"/>
          <w:sz w:val="32"/>
          <w:lang w:val="en-US" w:eastAsia="zh-CN"/>
        </w:rPr>
        <w:t>0.3</w:t>
      </w:r>
      <w:r>
        <w:rPr>
          <w:rFonts w:hint="eastAsia" w:ascii="仿宋_GB2312" w:hAnsi="仿宋_GB2312" w:eastAsia="仿宋_GB2312"/>
          <w:color w:val="000000" w:themeColor="text1"/>
          <w:sz w:val="32"/>
          <w:shd w:val="clear" w:color="auto" w:fill="FFFFFF"/>
        </w:rPr>
        <w:t>万元，增长</w:t>
      </w:r>
      <w:r>
        <w:rPr>
          <w:rFonts w:hint="eastAsia" w:ascii="仿宋_GB2312" w:hAnsi="仿宋_GB2312" w:eastAsia="仿宋_GB2312"/>
          <w:color w:val="000000" w:themeColor="text1"/>
          <w:sz w:val="32"/>
          <w:shd w:val="clear" w:color="auto" w:fill="FFFFFF"/>
          <w:lang w:val="en-US" w:eastAsia="zh-CN"/>
        </w:rPr>
        <w:t>100</w:t>
      </w:r>
      <w:r>
        <w:rPr>
          <w:rFonts w:hint="eastAsia" w:ascii="仿宋_GB2312" w:hAnsi="仿宋_GB2312" w:eastAsia="仿宋_GB2312"/>
          <w:color w:val="000000" w:themeColor="text1"/>
          <w:sz w:val="32"/>
          <w:shd w:val="clear" w:color="auto" w:fill="FFFFFF"/>
        </w:rPr>
        <w:t>%</w:t>
      </w:r>
      <w:r>
        <w:rPr>
          <w:rFonts w:hint="eastAsia" w:ascii="仿宋_GB2312" w:hAnsi="仿宋_GB2312" w:eastAsia="仿宋_GB2312"/>
          <w:color w:val="000000" w:themeColor="text1"/>
          <w:sz w:val="32"/>
        </w:rPr>
        <w:t>，</w:t>
      </w:r>
      <w:r>
        <w:rPr>
          <w:rFonts w:hint="eastAsia" w:ascii="仿宋_GB2312" w:hAnsi="仿宋_GB2312" w:eastAsia="仿宋_GB2312"/>
          <w:color w:val="000000" w:themeColor="text1"/>
          <w:sz w:val="32"/>
          <w:lang w:val="en-US" w:eastAsia="zh-CN"/>
        </w:rPr>
        <w:t>主要是单位机构改革，2025年开始独立核算。</w:t>
      </w:r>
      <w:r>
        <w:rPr>
          <w:rFonts w:hint="eastAsia" w:ascii="仿宋_GB2312" w:hAnsi="仿宋_GB2312" w:eastAsia="仿宋_GB2312"/>
          <w:color w:val="000000" w:themeColor="text1"/>
          <w:sz w:val="32"/>
        </w:rPr>
        <w:t>具体如下：</w:t>
      </w:r>
    </w:p>
    <w:p>
      <w:pPr>
        <w:numPr>
          <w:ilvl w:val="0"/>
          <w:numId w:val="0"/>
        </w:numPr>
        <w:spacing w:line="52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themeColor="text1"/>
          <w:sz w:val="32"/>
          <w:szCs w:val="32"/>
          <w:lang w:val="en-US" w:eastAsia="zh-CN"/>
        </w:rPr>
        <w:t>1</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kern w:val="0"/>
          <w:sz w:val="32"/>
          <w:szCs w:val="32"/>
        </w:rPr>
        <w:t>因公出国（境）费用：</w:t>
      </w:r>
      <w:r>
        <w:rPr>
          <w:rFonts w:hint="eastAsia" w:ascii="仿宋_GB2312" w:hAnsi="仿宋_GB2312" w:eastAsia="仿宋_GB2312" w:cs="仿宋_GB2312"/>
          <w:sz w:val="32"/>
          <w:szCs w:val="32"/>
        </w:rPr>
        <w:t>根据因公出国计划和实际工作需要，</w:t>
      </w:r>
      <w:r>
        <w:rPr>
          <w:rFonts w:hint="eastAsia" w:ascii="仿宋_GB2312" w:hAnsi="仿宋_GB2312" w:eastAsia="仿宋_GB2312" w:cs="仿宋_GB2312"/>
          <w:sz w:val="32"/>
          <w:szCs w:val="32"/>
          <w:lang w:eastAsia="zh-CN"/>
        </w:rPr>
        <w:t>2025年</w:t>
      </w:r>
      <w:r>
        <w:rPr>
          <w:rFonts w:hint="eastAsia" w:ascii="仿宋_GB2312" w:hAnsi="仿宋_GB2312" w:eastAsia="仿宋_GB2312" w:cs="仿宋_GB2312"/>
          <w:sz w:val="32"/>
          <w:szCs w:val="32"/>
        </w:rPr>
        <w:t>安排因公出国（境）费用预算0.00万元，</w:t>
      </w:r>
      <w:r>
        <w:rPr>
          <w:rFonts w:hint="eastAsia" w:ascii="仿宋_GB2312" w:hAnsi="仿宋_GB2312" w:eastAsia="仿宋_GB2312" w:cs="仿宋_GB2312"/>
          <w:sz w:val="32"/>
          <w:szCs w:val="32"/>
          <w:lang w:val="en-US" w:eastAsia="zh-CN"/>
        </w:rPr>
        <w:t>与</w:t>
      </w:r>
      <w:r>
        <w:rPr>
          <w:rFonts w:hint="eastAsia" w:ascii="仿宋_GB2312" w:hAnsi="仿宋_GB2312" w:eastAsia="仿宋_GB2312" w:cs="仿宋_GB2312"/>
          <w:sz w:val="32"/>
          <w:szCs w:val="32"/>
        </w:rPr>
        <w:t>上年预算数</w:t>
      </w:r>
      <w:r>
        <w:rPr>
          <w:rFonts w:hint="eastAsia" w:ascii="仿宋_GB2312" w:hAnsi="仿宋_GB2312" w:eastAsia="仿宋_GB2312" w:cs="仿宋_GB2312"/>
          <w:sz w:val="32"/>
          <w:szCs w:val="32"/>
          <w:lang w:val="en-US" w:eastAsia="zh-CN"/>
        </w:rPr>
        <w:t>持平，</w:t>
      </w:r>
      <w:r>
        <w:rPr>
          <w:rFonts w:hint="eastAsia" w:ascii="仿宋_GB2312" w:hAnsi="仿宋" w:eastAsia="仿宋_GB2312"/>
          <w:sz w:val="32"/>
          <w:szCs w:val="32"/>
          <w:highlight w:val="none"/>
        </w:rPr>
        <w:t>主要原因是：20</w:t>
      </w:r>
      <w:r>
        <w:rPr>
          <w:rFonts w:hint="eastAsia" w:ascii="仿宋_GB2312" w:hAnsi="仿宋" w:eastAsia="仿宋_GB2312"/>
          <w:sz w:val="32"/>
          <w:szCs w:val="32"/>
          <w:highlight w:val="none"/>
          <w:lang w:val="en-US" w:eastAsia="zh-CN"/>
        </w:rPr>
        <w:t>25</w:t>
      </w:r>
      <w:r>
        <w:rPr>
          <w:rFonts w:hint="eastAsia" w:ascii="仿宋_GB2312" w:hAnsi="仿宋" w:eastAsia="仿宋_GB2312"/>
          <w:sz w:val="32"/>
          <w:szCs w:val="32"/>
          <w:highlight w:val="none"/>
        </w:rPr>
        <w:t>年因公出国（境）预算由财政统留管理，未编列到年初部门预算中。</w:t>
      </w:r>
      <w:r>
        <w:rPr>
          <w:rFonts w:hint="eastAsia" w:ascii="仿宋_GB2312" w:hAnsi="仿宋" w:eastAsia="仿宋_GB2312"/>
          <w:sz w:val="32"/>
          <w:szCs w:val="32"/>
          <w:highlight w:val="none"/>
          <w:lang w:eastAsia="zh-CN"/>
        </w:rPr>
        <w:t>根据市外办安排的因公出国计划和实际工作需要，</w:t>
      </w:r>
      <w:r>
        <w:rPr>
          <w:rFonts w:hint="eastAsia" w:ascii="仿宋_GB2312" w:hAnsi="仿宋" w:eastAsia="仿宋_GB2312"/>
          <w:sz w:val="32"/>
          <w:szCs w:val="32"/>
          <w:highlight w:val="none"/>
        </w:rPr>
        <w:t>经批准同意因公出国（境）的，所需</w:t>
      </w:r>
      <w:r>
        <w:rPr>
          <w:rFonts w:hint="eastAsia" w:ascii="仿宋_GB2312" w:hAnsi="仿宋" w:eastAsia="仿宋_GB2312"/>
          <w:sz w:val="32"/>
          <w:szCs w:val="32"/>
          <w:highlight w:val="none"/>
          <w:lang w:eastAsia="zh-CN"/>
        </w:rPr>
        <w:t>指标</w:t>
      </w:r>
      <w:r>
        <w:rPr>
          <w:rFonts w:hint="eastAsia" w:ascii="仿宋_GB2312" w:hAnsi="仿宋" w:eastAsia="仿宋_GB2312"/>
          <w:sz w:val="32"/>
          <w:szCs w:val="32"/>
          <w:highlight w:val="none"/>
        </w:rPr>
        <w:t>由财政按实追加部门年度“三公”经费预算额度。</w:t>
      </w:r>
      <w:r>
        <w:rPr>
          <w:rFonts w:hint="eastAsia" w:ascii="仿宋_GB2312" w:hAnsi="仿宋_GB2312" w:eastAsia="仿宋_GB2312" w:cs="仿宋_GB2312"/>
          <w:sz w:val="32"/>
          <w:szCs w:val="32"/>
          <w:highlight w:val="none"/>
        </w:rPr>
        <w:t>主要用于机关及下属预算单位人员等公务出国（境）的国际旅费、</w:t>
      </w:r>
      <w:r>
        <w:rPr>
          <w:rFonts w:hint="eastAsia" w:ascii="仿宋_GB2312" w:hAnsi="仿宋_GB2312" w:eastAsia="仿宋_GB2312" w:cs="仿宋_GB2312"/>
          <w:sz w:val="32"/>
          <w:szCs w:val="32"/>
          <w:highlight w:val="none"/>
          <w:lang w:eastAsia="zh-CN"/>
        </w:rPr>
        <w:t>国外城市间交通费、</w:t>
      </w:r>
      <w:r>
        <w:rPr>
          <w:rFonts w:hint="eastAsia" w:ascii="仿宋_GB2312" w:hAnsi="仿宋_GB2312" w:eastAsia="仿宋_GB2312" w:cs="仿宋_GB2312"/>
          <w:sz w:val="32"/>
          <w:szCs w:val="32"/>
          <w:highlight w:val="none"/>
        </w:rPr>
        <w:t>住宿费、</w:t>
      </w:r>
      <w:r>
        <w:rPr>
          <w:rFonts w:hint="eastAsia" w:ascii="仿宋_GB2312" w:hAnsi="仿宋_GB2312" w:eastAsia="仿宋_GB2312" w:cs="仿宋_GB2312"/>
          <w:sz w:val="32"/>
          <w:szCs w:val="32"/>
          <w:highlight w:val="none"/>
          <w:lang w:eastAsia="zh-CN"/>
        </w:rPr>
        <w:t>伙食费、</w:t>
      </w:r>
      <w:r>
        <w:rPr>
          <w:rFonts w:hint="eastAsia" w:ascii="仿宋_GB2312" w:hAnsi="仿宋_GB2312" w:eastAsia="仿宋_GB2312" w:cs="仿宋_GB2312"/>
          <w:sz w:val="32"/>
          <w:szCs w:val="32"/>
          <w:highlight w:val="none"/>
        </w:rPr>
        <w:t>培训费、公杂费等支出。</w:t>
      </w:r>
    </w:p>
    <w:p>
      <w:pPr>
        <w:spacing w:line="520" w:lineRule="exact"/>
        <w:ind w:firstLine="640" w:firstLineChars="200"/>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val="en-US" w:eastAsia="zh-CN"/>
        </w:rPr>
        <w:t>2.</w:t>
      </w:r>
      <w:r>
        <w:rPr>
          <w:rFonts w:hint="eastAsia" w:ascii="仿宋_GB2312" w:hAnsi="仿宋_GB2312" w:eastAsia="仿宋_GB2312" w:cs="仿宋_GB2312"/>
          <w:color w:val="000000" w:themeColor="text1"/>
          <w:sz w:val="32"/>
          <w:szCs w:val="32"/>
        </w:rPr>
        <w:t>公务接待费：</w:t>
      </w:r>
      <w:r>
        <w:rPr>
          <w:rFonts w:hint="eastAsia" w:ascii="仿宋_GB2312" w:hAnsi="仿宋_GB2312" w:eastAsia="仿宋_GB2312" w:cs="仿宋_GB2312"/>
          <w:color w:val="000000" w:themeColor="text1"/>
          <w:sz w:val="32"/>
          <w:szCs w:val="32"/>
          <w:lang w:eastAsia="zh-CN"/>
        </w:rPr>
        <w:t>2025年</w:t>
      </w:r>
      <w:r>
        <w:rPr>
          <w:rFonts w:hint="eastAsia" w:ascii="仿宋_GB2312" w:hAnsi="仿宋_GB2312" w:eastAsia="仿宋_GB2312" w:cs="仿宋_GB2312"/>
          <w:color w:val="000000" w:themeColor="text1"/>
          <w:sz w:val="32"/>
          <w:szCs w:val="32"/>
        </w:rPr>
        <w:t>安排公务接待费预算0.3万元，比上年预算数</w:t>
      </w:r>
      <w:r>
        <w:rPr>
          <w:rFonts w:hint="eastAsia" w:ascii="仿宋_GB2312" w:hAnsi="仿宋_GB2312" w:eastAsia="仿宋_GB2312"/>
          <w:color w:val="000000" w:themeColor="text1"/>
          <w:sz w:val="32"/>
          <w:shd w:val="clear" w:color="auto" w:fill="FFFFFF"/>
        </w:rPr>
        <w:t>增加</w:t>
      </w:r>
      <w:r>
        <w:rPr>
          <w:rFonts w:hint="eastAsia" w:ascii="仿宋_GB2312" w:hAnsi="仿宋_GB2312" w:eastAsia="仿宋_GB2312"/>
          <w:color w:val="000000" w:themeColor="text1"/>
          <w:sz w:val="32"/>
          <w:lang w:val="en-US" w:eastAsia="zh-CN"/>
        </w:rPr>
        <w:t>0.3</w:t>
      </w:r>
      <w:r>
        <w:rPr>
          <w:rFonts w:hint="eastAsia" w:ascii="仿宋_GB2312" w:hAnsi="仿宋_GB2312" w:eastAsia="仿宋_GB2312"/>
          <w:color w:val="000000" w:themeColor="text1"/>
          <w:sz w:val="32"/>
          <w:shd w:val="clear" w:color="auto" w:fill="FFFFFF"/>
        </w:rPr>
        <w:t>万元，</w:t>
      </w:r>
      <w:r>
        <w:rPr>
          <w:rFonts w:hint="eastAsia" w:ascii="仿宋_GB2312" w:hAnsi="仿宋_GB2312" w:eastAsia="仿宋_GB2312" w:cs="仿宋_GB2312"/>
          <w:color w:val="000000" w:themeColor="text1"/>
          <w:sz w:val="32"/>
          <w:szCs w:val="32"/>
        </w:rPr>
        <w:t>增长</w:t>
      </w:r>
      <w:r>
        <w:rPr>
          <w:rFonts w:hint="eastAsia" w:ascii="仿宋_GB2312" w:hAnsi="仿宋_GB2312" w:eastAsia="仿宋_GB2312" w:cs="仿宋_GB2312"/>
          <w:color w:val="000000" w:themeColor="text1"/>
          <w:sz w:val="32"/>
          <w:szCs w:val="32"/>
          <w:lang w:val="en-US" w:eastAsia="zh-CN"/>
        </w:rPr>
        <w:t>100</w:t>
      </w:r>
      <w:r>
        <w:rPr>
          <w:rFonts w:hint="eastAsia" w:ascii="仿宋_GB2312" w:hAnsi="仿宋_GB2312" w:eastAsia="仿宋_GB2312" w:cs="仿宋_GB2312"/>
          <w:color w:val="000000" w:themeColor="text1"/>
          <w:sz w:val="32"/>
          <w:szCs w:val="32"/>
        </w:rPr>
        <w:t>%。</w:t>
      </w:r>
      <w:r>
        <w:rPr>
          <w:rFonts w:hint="eastAsia" w:ascii="仿宋_GB2312" w:hAnsi="仿宋_GB2312" w:eastAsia="仿宋_GB2312" w:cs="仿宋_GB2312"/>
          <w:color w:val="000000" w:themeColor="text1"/>
          <w:sz w:val="32"/>
          <w:szCs w:val="32"/>
          <w:lang w:val="en-US" w:eastAsia="zh-CN"/>
        </w:rPr>
        <w:t>主要是机构改革，单位2025年独立核算，</w:t>
      </w:r>
      <w:r>
        <w:rPr>
          <w:rFonts w:hint="eastAsia" w:ascii="仿宋_GB2312" w:hAnsi="仿宋_GB2312" w:eastAsia="仿宋_GB2312" w:cs="仿宋_GB2312"/>
          <w:color w:val="000000" w:themeColor="text1"/>
          <w:sz w:val="32"/>
          <w:szCs w:val="32"/>
        </w:rPr>
        <w:t>主要用于接待</w:t>
      </w:r>
      <w:r>
        <w:rPr>
          <w:rFonts w:hint="eastAsia" w:ascii="仿宋_GB2312" w:hAnsi="仿宋_GB2312" w:eastAsia="仿宋_GB2312" w:cs="仿宋_GB2312"/>
          <w:color w:val="000000" w:themeColor="text1"/>
          <w:sz w:val="32"/>
          <w:szCs w:val="32"/>
          <w:lang w:val="en-US" w:eastAsia="zh-CN"/>
        </w:rPr>
        <w:t>省、市老年活动中心及</w:t>
      </w:r>
      <w:r>
        <w:rPr>
          <w:rFonts w:hint="eastAsia" w:ascii="仿宋_GB2312" w:hAnsi="仿宋_GB2312" w:eastAsia="仿宋_GB2312" w:cs="仿宋_GB2312"/>
          <w:color w:val="000000" w:themeColor="text1"/>
          <w:sz w:val="32"/>
          <w:szCs w:val="32"/>
          <w:highlight w:val="none"/>
        </w:rPr>
        <w:t>各</w:t>
      </w:r>
      <w:r>
        <w:rPr>
          <w:rFonts w:hint="eastAsia" w:ascii="仿宋_GB2312" w:hAnsi="仿宋_GB2312" w:eastAsia="仿宋_GB2312" w:cs="仿宋_GB2312"/>
          <w:color w:val="000000" w:themeColor="text1"/>
          <w:sz w:val="32"/>
          <w:szCs w:val="32"/>
          <w:highlight w:val="none"/>
          <w:lang w:eastAsia="zh-CN"/>
        </w:rPr>
        <w:t>（</w:t>
      </w:r>
      <w:r>
        <w:rPr>
          <w:rFonts w:hint="eastAsia" w:ascii="仿宋_GB2312" w:hAnsi="仿宋_GB2312" w:eastAsia="仿宋_GB2312" w:cs="仿宋_GB2312"/>
          <w:color w:val="000000" w:themeColor="text1"/>
          <w:sz w:val="32"/>
          <w:szCs w:val="32"/>
          <w:highlight w:val="none"/>
        </w:rPr>
        <w:t>县</w:t>
      </w:r>
      <w:r>
        <w:rPr>
          <w:rFonts w:hint="eastAsia" w:ascii="仿宋_GB2312" w:hAnsi="仿宋_GB2312" w:eastAsia="仿宋_GB2312" w:cs="仿宋_GB2312"/>
          <w:color w:val="000000" w:themeColor="text1"/>
          <w:sz w:val="32"/>
          <w:szCs w:val="32"/>
          <w:highlight w:val="none"/>
          <w:lang w:eastAsia="zh-CN"/>
        </w:rPr>
        <w:t>、市）区</w:t>
      </w:r>
      <w:r>
        <w:rPr>
          <w:rFonts w:hint="eastAsia" w:ascii="仿宋_GB2312" w:hAnsi="仿宋_GB2312" w:eastAsia="仿宋_GB2312" w:cs="仿宋_GB2312"/>
          <w:color w:val="000000" w:themeColor="text1"/>
          <w:sz w:val="32"/>
          <w:szCs w:val="32"/>
          <w:highlight w:val="none"/>
        </w:rPr>
        <w:t>民政</w:t>
      </w:r>
      <w:r>
        <w:rPr>
          <w:rFonts w:hint="eastAsia" w:ascii="仿宋_GB2312" w:hAnsi="仿宋_GB2312" w:eastAsia="仿宋_GB2312" w:cs="仿宋_GB2312"/>
          <w:color w:val="000000" w:themeColor="text1"/>
          <w:sz w:val="32"/>
          <w:szCs w:val="32"/>
          <w:highlight w:val="none"/>
          <w:lang w:val="en-US" w:eastAsia="zh-CN"/>
        </w:rPr>
        <w:t>部门</w:t>
      </w:r>
      <w:r>
        <w:rPr>
          <w:rFonts w:hint="eastAsia" w:ascii="仿宋_GB2312" w:hAnsi="仿宋_GB2312" w:eastAsia="仿宋_GB2312" w:cs="仿宋_GB2312"/>
          <w:color w:val="000000" w:themeColor="text1"/>
          <w:sz w:val="32"/>
          <w:szCs w:val="32"/>
          <w:highlight w:val="none"/>
        </w:rPr>
        <w:t>对接工作等支出</w:t>
      </w:r>
      <w:r>
        <w:rPr>
          <w:rFonts w:hint="eastAsia" w:ascii="仿宋_GB2312" w:hAnsi="仿宋_GB2312" w:eastAsia="仿宋_GB2312" w:cs="仿宋_GB2312"/>
          <w:color w:val="000000" w:themeColor="text1"/>
          <w:sz w:val="32"/>
          <w:szCs w:val="32"/>
        </w:rPr>
        <w:t>。</w:t>
      </w:r>
    </w:p>
    <w:p>
      <w:pPr>
        <w:pStyle w:val="14"/>
        <w:keepNext w:val="0"/>
        <w:keepLines w:val="0"/>
        <w:pageBreakBefore w:val="0"/>
        <w:kinsoku/>
        <w:wordWrap/>
        <w:overflowPunct/>
        <w:topLinePunct w:val="0"/>
        <w:autoSpaceDE/>
        <w:autoSpaceDN/>
        <w:bidi w:val="0"/>
        <w:adjustRightInd/>
        <w:snapToGrid/>
        <w:spacing w:beforeLines="0" w:afterLines="0" w:line="520" w:lineRule="exact"/>
        <w:ind w:right="0" w:rightChars="0" w:firstLine="640" w:firstLineChars="200"/>
        <w:textAlignment w:val="auto"/>
        <w:outlineLvl w:val="9"/>
        <w:rPr>
          <w:rFonts w:hint="default" w:eastAsia="仿宋_GB2312"/>
          <w:lang w:val="en-US" w:eastAsia="zh-CN"/>
        </w:rPr>
      </w:pPr>
      <w:r>
        <w:rPr>
          <w:rFonts w:hint="eastAsia" w:ascii="仿宋_GB2312" w:eastAsia="仿宋_GB2312"/>
          <w:sz w:val="32"/>
          <w:szCs w:val="32"/>
        </w:rPr>
        <w:t>3.公务用车购置及运行维护费：</w:t>
      </w:r>
      <w:r>
        <w:rPr>
          <w:rFonts w:hint="eastAsia" w:ascii="仿宋_GB2312" w:eastAsia="仿宋_GB2312"/>
          <w:sz w:val="32"/>
          <w:szCs w:val="32"/>
          <w:lang w:eastAsia="zh-CN"/>
        </w:rPr>
        <w:t>2025年</w:t>
      </w:r>
      <w:r>
        <w:rPr>
          <w:rFonts w:hint="eastAsia" w:ascii="仿宋_GB2312" w:eastAsia="仿宋_GB2312"/>
          <w:sz w:val="32"/>
          <w:szCs w:val="32"/>
        </w:rPr>
        <w:t>安排公务用车购置及运行维护费预算0.00万元，比上年预算数</w:t>
      </w:r>
      <w:r>
        <w:rPr>
          <w:rFonts w:hint="eastAsia" w:ascii="仿宋_GB2312" w:eastAsia="仿宋_GB2312"/>
          <w:sz w:val="32"/>
          <w:szCs w:val="32"/>
          <w:lang w:val="en-US" w:eastAsia="zh-CN"/>
        </w:rPr>
        <w:t>持平。</w:t>
      </w:r>
      <w:r>
        <w:rPr>
          <w:rFonts w:hint="eastAsia" w:ascii="仿宋_GB2312" w:eastAsia="仿宋_GB2312"/>
          <w:sz w:val="32"/>
          <w:szCs w:val="32"/>
          <w:highlight w:val="none"/>
        </w:rPr>
        <w:t>其中，公务用车购置支出</w:t>
      </w:r>
      <w:r>
        <w:rPr>
          <w:rFonts w:hint="eastAsia" w:ascii="仿宋_GB2312" w:eastAsia="仿宋_GB2312"/>
          <w:sz w:val="32"/>
          <w:szCs w:val="32"/>
          <w:highlight w:val="none"/>
        </w:rPr>
        <w:fldChar w:fldCharType="begin"/>
      </w:r>
      <w:r>
        <w:rPr>
          <w:rFonts w:hint="eastAsia" w:ascii="仿宋_GB2312" w:eastAsia="仿宋_GB2312"/>
          <w:sz w:val="32"/>
          <w:szCs w:val="32"/>
          <w:highlight w:val="none"/>
        </w:rPr>
        <w:instrText xml:space="preserve">MERGEFIELD ${page777094869.ds444739888_ComputeCol20220214105200}</w:instrText>
      </w:r>
      <w:r>
        <w:rPr>
          <w:rFonts w:hint="eastAsia" w:ascii="仿宋_GB2312" w:eastAsia="仿宋_GB2312"/>
          <w:sz w:val="32"/>
          <w:szCs w:val="32"/>
          <w:highlight w:val="none"/>
        </w:rPr>
        <w:fldChar w:fldCharType="separate"/>
      </w:r>
      <w:r>
        <w:rPr>
          <w:rFonts w:hint="eastAsia" w:ascii="仿宋_GB2312" w:eastAsia="仿宋_GB2312"/>
          <w:sz w:val="32"/>
          <w:szCs w:val="32"/>
          <w:highlight w:val="none"/>
        </w:rPr>
        <w:t>0.00</w:t>
      </w:r>
      <w:r>
        <w:rPr>
          <w:highlight w:val="none"/>
        </w:rPr>
        <w:fldChar w:fldCharType="end"/>
      </w:r>
      <w:r>
        <w:rPr>
          <w:rFonts w:hint="eastAsia" w:ascii="仿宋_GB2312" w:eastAsia="仿宋_GB2312"/>
          <w:sz w:val="32"/>
          <w:szCs w:val="32"/>
          <w:highlight w:val="none"/>
        </w:rPr>
        <w:t>万元（含购置税等附加费用），主要用于经批准购置的</w:t>
      </w:r>
      <w:r>
        <w:rPr>
          <w:rFonts w:hint="eastAsia" w:ascii="仿宋_GB2312" w:eastAsia="仿宋_GB2312"/>
          <w:sz w:val="32"/>
          <w:szCs w:val="32"/>
          <w:highlight w:val="none"/>
          <w:lang w:val="en-US" w:eastAsia="zh-CN"/>
        </w:rPr>
        <w:t>0</w:t>
      </w:r>
      <w:r>
        <w:rPr>
          <w:rFonts w:hint="eastAsia" w:ascii="仿宋_GB2312" w:eastAsia="仿宋_GB2312"/>
          <w:sz w:val="32"/>
          <w:szCs w:val="32"/>
          <w:highlight w:val="none"/>
        </w:rPr>
        <w:t>辆公务用车</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lang w:eastAsia="zh-CN"/>
        </w:rPr>
        <w:t>比上年</w:t>
      </w:r>
      <w:r>
        <w:rPr>
          <w:rFonts w:hint="eastAsia" w:ascii="仿宋_GB2312" w:eastAsia="仿宋_GB2312"/>
          <w:sz w:val="32"/>
          <w:szCs w:val="32"/>
          <w:highlight w:val="none"/>
          <w:lang w:val="en-US" w:eastAsia="zh-CN"/>
        </w:rPr>
        <w:t>预算</w:t>
      </w:r>
      <w:r>
        <w:rPr>
          <w:rFonts w:hint="eastAsia" w:ascii="仿宋_GB2312" w:eastAsia="仿宋_GB2312"/>
          <w:sz w:val="32"/>
          <w:szCs w:val="32"/>
          <w:highlight w:val="none"/>
          <w:lang w:eastAsia="zh-CN"/>
        </w:rPr>
        <w:t>数</w:t>
      </w:r>
      <w:r>
        <w:rPr>
          <w:rFonts w:hint="eastAsia" w:ascii="仿宋_GB2312" w:eastAsia="仿宋_GB2312"/>
          <w:sz w:val="32"/>
          <w:szCs w:val="32"/>
          <w:highlight w:val="none"/>
          <w:lang w:val="en-US" w:eastAsia="zh-CN"/>
        </w:rPr>
        <w:t>持平</w:t>
      </w:r>
      <w:r>
        <w:rPr>
          <w:rFonts w:hint="eastAsia" w:ascii="仿宋_GB2312" w:eastAsia="仿宋_GB2312"/>
          <w:sz w:val="32"/>
          <w:szCs w:val="32"/>
          <w:highlight w:val="none"/>
        </w:rPr>
        <w:t>；公务用车运行</w:t>
      </w:r>
      <w:r>
        <w:rPr>
          <w:rFonts w:hint="eastAsia" w:ascii="仿宋_GB2312" w:eastAsia="仿宋_GB2312"/>
          <w:sz w:val="32"/>
          <w:szCs w:val="32"/>
          <w:highlight w:val="none"/>
          <w:lang w:eastAsia="zh-CN"/>
        </w:rPr>
        <w:t>维护</w:t>
      </w:r>
      <w:r>
        <w:rPr>
          <w:rFonts w:hint="eastAsia" w:ascii="仿宋_GB2312" w:eastAsia="仿宋_GB2312"/>
          <w:sz w:val="32"/>
          <w:szCs w:val="32"/>
          <w:highlight w:val="none"/>
        </w:rPr>
        <w:t>费支出</w:t>
      </w:r>
      <w:r>
        <w:rPr>
          <w:rFonts w:hint="eastAsia" w:ascii="仿宋_GB2312" w:eastAsia="仿宋_GB2312"/>
          <w:sz w:val="32"/>
          <w:szCs w:val="32"/>
          <w:highlight w:val="none"/>
        </w:rPr>
        <w:fldChar w:fldCharType="begin"/>
      </w:r>
      <w:r>
        <w:rPr>
          <w:rFonts w:hint="eastAsia" w:ascii="仿宋_GB2312" w:eastAsia="仿宋_GB2312"/>
          <w:sz w:val="32"/>
          <w:szCs w:val="32"/>
          <w:highlight w:val="none"/>
        </w:rPr>
        <w:instrText xml:space="preserve">MERGEFIELD ${page777094869.ds444739888_ExpandCol7471383553}</w:instrText>
      </w:r>
      <w:r>
        <w:rPr>
          <w:rFonts w:hint="eastAsia" w:ascii="仿宋_GB2312" w:eastAsia="仿宋_GB2312"/>
          <w:sz w:val="32"/>
          <w:szCs w:val="32"/>
          <w:highlight w:val="none"/>
        </w:rPr>
        <w:fldChar w:fldCharType="separate"/>
      </w:r>
      <w:r>
        <w:rPr>
          <w:rFonts w:hint="eastAsia" w:ascii="仿宋_GB2312" w:eastAsia="仿宋_GB2312"/>
          <w:sz w:val="32"/>
          <w:szCs w:val="32"/>
          <w:highlight w:val="none"/>
        </w:rPr>
        <w:t>0.00</w:t>
      </w:r>
      <w:r>
        <w:rPr>
          <w:highlight w:val="none"/>
        </w:rPr>
        <w:fldChar w:fldCharType="end"/>
      </w:r>
      <w:r>
        <w:rPr>
          <w:rFonts w:hint="eastAsia" w:ascii="仿宋_GB2312" w:eastAsia="仿宋_GB2312"/>
          <w:sz w:val="32"/>
          <w:szCs w:val="32"/>
          <w:highlight w:val="none"/>
        </w:rPr>
        <w:t>万元，主要用于公务用车燃料费、维修费、过桥过路费、保险费</w:t>
      </w:r>
      <w:r>
        <w:rPr>
          <w:rFonts w:hint="eastAsia" w:ascii="仿宋_GB2312" w:eastAsia="仿宋_GB2312"/>
          <w:sz w:val="32"/>
          <w:szCs w:val="32"/>
          <w:highlight w:val="none"/>
          <w:lang w:eastAsia="zh-CN"/>
        </w:rPr>
        <w:t>、安全奖励费用等</w:t>
      </w:r>
      <w:r>
        <w:rPr>
          <w:rFonts w:hint="eastAsia" w:ascii="仿宋_GB2312" w:eastAsia="仿宋_GB2312"/>
          <w:sz w:val="32"/>
          <w:szCs w:val="32"/>
          <w:highlight w:val="none"/>
        </w:rPr>
        <w:t>支出。</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lang w:eastAsia="zh-CN"/>
        </w:rPr>
        <w:t>上年</w:t>
      </w:r>
      <w:r>
        <w:rPr>
          <w:rFonts w:hint="eastAsia" w:ascii="仿宋_GB2312" w:eastAsia="仿宋_GB2312"/>
          <w:sz w:val="32"/>
          <w:szCs w:val="32"/>
          <w:highlight w:val="none"/>
          <w:lang w:val="en-US" w:eastAsia="zh-CN"/>
        </w:rPr>
        <w:t>预算</w:t>
      </w:r>
      <w:r>
        <w:rPr>
          <w:rFonts w:hint="eastAsia" w:ascii="仿宋_GB2312" w:eastAsia="仿宋_GB2312"/>
          <w:sz w:val="32"/>
          <w:szCs w:val="32"/>
          <w:highlight w:val="none"/>
          <w:lang w:eastAsia="zh-CN"/>
        </w:rPr>
        <w:t>数</w:t>
      </w:r>
      <w:r>
        <w:rPr>
          <w:rFonts w:hint="eastAsia" w:ascii="仿宋_GB2312" w:eastAsia="仿宋_GB2312"/>
          <w:sz w:val="32"/>
          <w:szCs w:val="32"/>
          <w:highlight w:val="none"/>
          <w:lang w:val="en-US" w:eastAsia="zh-CN"/>
        </w:rPr>
        <w:t>持平</w:t>
      </w:r>
      <w:r>
        <w:rPr>
          <w:rFonts w:hint="eastAsia" w:ascii="仿宋_GB2312" w:eastAsia="仿宋_GB2312"/>
          <w:b w:val="0"/>
          <w:bCs w:val="0"/>
          <w:sz w:val="32"/>
          <w:szCs w:val="32"/>
          <w:highlight w:val="none"/>
          <w:lang w:eastAsia="zh-CN"/>
        </w:rPr>
        <w:t>。</w:t>
      </w:r>
    </w:p>
    <w:p>
      <w:pPr>
        <w:spacing w:line="520" w:lineRule="exact"/>
        <w:ind w:firstLine="627" w:firstLineChars="196"/>
        <w:rPr>
          <w:rFonts w:ascii="楷体_GB2312" w:hAnsi="楷体_GB2312" w:eastAsia="楷体_GB2312" w:cs="楷体_GB2312"/>
          <w:bCs/>
          <w:color w:val="000000" w:themeColor="text1"/>
          <w:sz w:val="32"/>
          <w:szCs w:val="32"/>
        </w:rPr>
      </w:pPr>
      <w:r>
        <w:rPr>
          <w:rFonts w:hint="eastAsia" w:ascii="楷体_GB2312" w:hAnsi="楷体_GB2312" w:eastAsia="楷体_GB2312" w:cs="楷体_GB2312"/>
          <w:bCs/>
          <w:color w:val="000000" w:themeColor="text1"/>
          <w:sz w:val="32"/>
          <w:szCs w:val="32"/>
        </w:rPr>
        <w:t>（十）其他重要事项的情况说明</w:t>
      </w:r>
    </w:p>
    <w:p>
      <w:pPr>
        <w:pStyle w:val="14"/>
        <w:numPr>
          <w:ilvl w:val="0"/>
          <w:numId w:val="0"/>
        </w:numPr>
        <w:spacing w:line="520" w:lineRule="exact"/>
        <w:rPr>
          <w:rFonts w:ascii="仿宋_GB2312" w:eastAsia="仿宋_GB2312"/>
          <w:b/>
          <w:bCs/>
          <w:sz w:val="32"/>
          <w:szCs w:val="32"/>
        </w:rPr>
      </w:pPr>
      <w:r>
        <w:rPr>
          <w:rFonts w:hint="eastAsia" w:ascii="仿宋_GB2312" w:eastAsia="仿宋_GB2312"/>
          <w:b/>
          <w:bCs/>
          <w:color w:val="000000" w:themeColor="text1"/>
          <w:sz w:val="32"/>
          <w:szCs w:val="32"/>
        </w:rPr>
        <w:t xml:space="preserve">    </w:t>
      </w:r>
      <w:r>
        <w:rPr>
          <w:rFonts w:hint="eastAsia" w:ascii="仿宋_GB2312" w:eastAsia="仿宋_GB2312"/>
          <w:b/>
          <w:bCs/>
          <w:color w:val="000000" w:themeColor="text1"/>
          <w:sz w:val="32"/>
          <w:szCs w:val="32"/>
          <w:lang w:val="en-US" w:eastAsia="zh-CN"/>
        </w:rPr>
        <w:t>1</w:t>
      </w:r>
      <w:r>
        <w:rPr>
          <w:rFonts w:hint="eastAsia" w:ascii="仿宋_GB2312" w:eastAsia="仿宋_GB2312"/>
          <w:b/>
          <w:bCs/>
          <w:color w:val="000000" w:themeColor="text1"/>
          <w:sz w:val="32"/>
          <w:szCs w:val="32"/>
        </w:rPr>
        <w:t>.</w:t>
      </w:r>
      <w:r>
        <w:rPr>
          <w:rFonts w:hint="eastAsia" w:ascii="仿宋_GB2312" w:eastAsia="仿宋_GB2312"/>
          <w:b/>
          <w:bCs/>
          <w:sz w:val="32"/>
          <w:szCs w:val="32"/>
        </w:rPr>
        <w:t>政府采购情况。</w:t>
      </w:r>
    </w:p>
    <w:p>
      <w:pPr>
        <w:pStyle w:val="14"/>
        <w:spacing w:line="520" w:lineRule="exact"/>
        <w:ind w:firstLine="640" w:firstLineChars="200"/>
        <w:rPr>
          <w:rFonts w:ascii="仿宋_GB2312" w:eastAsia="仿宋_GB2312"/>
          <w:sz w:val="32"/>
          <w:szCs w:val="32"/>
        </w:rPr>
      </w:pPr>
      <w:r>
        <w:rPr>
          <w:rFonts w:hint="eastAsia" w:ascii="仿宋_GB2312" w:eastAsia="仿宋_GB2312"/>
          <w:sz w:val="32"/>
          <w:szCs w:val="32"/>
          <w:lang w:eastAsia="zh-CN"/>
        </w:rPr>
        <w:t>2025年</w:t>
      </w:r>
      <w:r>
        <w:rPr>
          <w:rFonts w:hint="eastAsia" w:ascii="仿宋_GB2312" w:eastAsia="仿宋_GB2312"/>
          <w:sz w:val="32"/>
          <w:szCs w:val="32"/>
        </w:rPr>
        <w:t>丽水市老年活动中心</w:t>
      </w:r>
      <w:r>
        <w:rPr>
          <w:rFonts w:hint="eastAsia" w:ascii="仿宋_GB2312" w:eastAsia="仿宋_GB2312"/>
          <w:color w:val="000000"/>
          <w:sz w:val="32"/>
          <w:szCs w:val="32"/>
        </w:rPr>
        <w:t>各单位政府采购预算总额</w:t>
      </w:r>
      <w:r>
        <w:rPr>
          <w:rFonts w:ascii="仿宋_GB2312" w:eastAsia="仿宋_GB2312"/>
          <w:color w:val="000000"/>
          <w:sz w:val="32"/>
          <w:szCs w:val="32"/>
        </w:rPr>
        <w:t>0.00</w:t>
      </w:r>
      <w:r>
        <w:rPr>
          <w:rFonts w:hint="eastAsia" w:ascii="仿宋_GB2312" w:eastAsia="仿宋_GB2312"/>
          <w:color w:val="000000"/>
          <w:sz w:val="32"/>
          <w:szCs w:val="32"/>
        </w:rPr>
        <w:t>万元，其中：政府采购货物预算0.00万元、政府采购工程预算0.00万元、政府采购服务预算</w:t>
      </w:r>
      <w:r>
        <w:rPr>
          <w:rFonts w:ascii="仿宋_GB2312" w:eastAsia="仿宋_GB2312"/>
          <w:color w:val="000000"/>
          <w:sz w:val="32"/>
          <w:szCs w:val="32"/>
        </w:rPr>
        <w:t>0.00</w:t>
      </w:r>
      <w:r>
        <w:rPr>
          <w:rFonts w:hint="eastAsia" w:ascii="仿宋_GB2312" w:eastAsia="仿宋_GB2312"/>
          <w:color w:val="000000"/>
          <w:sz w:val="32"/>
          <w:szCs w:val="32"/>
        </w:rPr>
        <w:t>万元。</w:t>
      </w:r>
    </w:p>
    <w:p>
      <w:pPr>
        <w:pStyle w:val="14"/>
        <w:spacing w:line="520" w:lineRule="exact"/>
        <w:ind w:firstLine="642"/>
        <w:rPr>
          <w:rFonts w:ascii="仿宋_GB2312" w:eastAsia="仿宋_GB2312"/>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.国有资产占有使用情况。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pacing w:val="6"/>
          <w:sz w:val="32"/>
          <w:szCs w:val="32"/>
        </w:rPr>
        <w:t>截至202</w:t>
      </w:r>
      <w:r>
        <w:rPr>
          <w:rFonts w:hint="eastAsia" w:ascii="仿宋_GB2312" w:hAnsi="仿宋_GB2312" w:eastAsia="仿宋_GB2312" w:cs="仿宋_GB2312"/>
          <w:spacing w:val="6"/>
          <w:sz w:val="32"/>
          <w:szCs w:val="32"/>
          <w:lang w:val="en-US" w:eastAsia="zh-CN"/>
        </w:rPr>
        <w:t>4</w:t>
      </w:r>
      <w:r>
        <w:rPr>
          <w:rFonts w:hint="eastAsia" w:ascii="仿宋_GB2312" w:hAnsi="仿宋_GB2312" w:eastAsia="仿宋_GB2312" w:cs="仿宋_GB2312"/>
          <w:spacing w:val="6"/>
          <w:sz w:val="32"/>
          <w:szCs w:val="32"/>
        </w:rPr>
        <w:t>年12月31日，所属各预算单位共有车辆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辆，其中，应急保障用车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辆、老干部服务用车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辆、行政执法专用车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辆。单位价值100万元以上设备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台（套）。 </w:t>
      </w:r>
    </w:p>
    <w:p>
      <w:pPr>
        <w:pStyle w:val="14"/>
        <w:spacing w:line="520" w:lineRule="exact"/>
        <w:ind w:firstLine="640" w:firstLineChars="200"/>
        <w:rPr>
          <w:rFonts w:hint="eastAsia" w:ascii="仿宋_GB2312" w:hAnsi="仿宋_GB2312" w:eastAsia="仿宋_GB2312" w:cs="仿宋_GB2312"/>
          <w:sz w:val="32"/>
          <w:szCs w:val="32"/>
        </w:rPr>
      </w:pPr>
      <w:r>
        <w:rPr>
          <w:rFonts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单位</w:t>
      </w:r>
      <w:r>
        <w:rPr>
          <w:rFonts w:ascii="仿宋_GB2312" w:hAnsi="仿宋_GB2312" w:eastAsia="仿宋_GB2312" w:cs="仿宋_GB2312"/>
          <w:sz w:val="32"/>
          <w:szCs w:val="32"/>
        </w:rPr>
        <w:t>预算未安排购置车辆、单位价值50万元以上通用设备及单位价值100万元以上专用设备</w:t>
      </w:r>
      <w:r>
        <w:rPr>
          <w:rFonts w:hint="eastAsia" w:ascii="仿宋_GB2312" w:hAnsi="仿宋_GB2312" w:eastAsia="仿宋_GB2312" w:cs="仿宋_GB2312"/>
          <w:sz w:val="32"/>
          <w:szCs w:val="32"/>
        </w:rPr>
        <w:t>。</w:t>
      </w:r>
      <w:bookmarkStart w:id="0" w:name="_GoBack"/>
      <w:bookmarkEnd w:id="0"/>
    </w:p>
    <w:p>
      <w:pPr>
        <w:pStyle w:val="14"/>
        <w:spacing w:line="520" w:lineRule="exact"/>
        <w:ind w:firstLine="640" w:firstLineChars="200"/>
        <w:rPr>
          <w:rFonts w:ascii="仿宋_GB2312" w:eastAsia="仿宋_GB2312"/>
          <w:b/>
          <w:bCs/>
          <w:color w:val="000000" w:themeColor="text1"/>
          <w:sz w:val="32"/>
          <w:szCs w:val="32"/>
        </w:rPr>
      </w:pPr>
      <w:r>
        <w:rPr>
          <w:rFonts w:hint="eastAsia" w:ascii="仿宋_GB2312" w:hAnsi="仿宋_GB2312" w:eastAsia="仿宋_GB2312" w:cs="仿宋_GB2312"/>
          <w:sz w:val="32"/>
          <w:szCs w:val="32"/>
          <w:lang w:val="en-US" w:eastAsia="zh-CN"/>
        </w:rPr>
        <w:t>3.</w:t>
      </w:r>
      <w:r>
        <w:rPr>
          <w:rFonts w:hint="eastAsia" w:ascii="仿宋_GB2312" w:eastAsia="仿宋_GB2312"/>
          <w:b/>
          <w:bCs/>
          <w:color w:val="000000" w:themeColor="text1"/>
          <w:sz w:val="32"/>
          <w:szCs w:val="32"/>
        </w:rPr>
        <w:t>预算绩效情况说明。</w:t>
      </w:r>
    </w:p>
    <w:p>
      <w:pPr>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eastAsia="zh-CN"/>
        </w:rPr>
        <w:t>2025年</w:t>
      </w:r>
      <w:r>
        <w:rPr>
          <w:rFonts w:ascii="仿宋_GB2312" w:hAnsi="仿宋_GB2312" w:eastAsia="仿宋_GB2312" w:cs="仿宋_GB2312"/>
          <w:color w:val="000000" w:themeColor="text1"/>
          <w:sz w:val="32"/>
          <w:szCs w:val="32"/>
        </w:rPr>
        <w:t>丽水市老年活动中心其他运转类项目和特定目标类项目均实行绩效目标管理，共计1个一级项目，涉及当年资金145.60万元。同时，将按照相关制度规定开展绩效自评。一级项目绩效目标表，详见“</w:t>
      </w:r>
      <w:r>
        <w:rPr>
          <w:rFonts w:hint="eastAsia" w:ascii="仿宋_GB2312" w:hAnsi="仿宋_GB2312" w:eastAsia="仿宋_GB2312" w:cs="仿宋_GB2312"/>
          <w:color w:val="000000" w:themeColor="text1"/>
          <w:sz w:val="32"/>
          <w:szCs w:val="32"/>
        </w:rPr>
        <w:t>单位</w:t>
      </w:r>
      <w:r>
        <w:rPr>
          <w:rFonts w:ascii="仿宋_GB2312" w:hAnsi="仿宋_GB2312" w:eastAsia="仿宋_GB2312" w:cs="仿宋_GB2312"/>
          <w:color w:val="000000" w:themeColor="text1"/>
          <w:sz w:val="32"/>
          <w:szCs w:val="32"/>
        </w:rPr>
        <w:t>项目支出绩效表”</w:t>
      </w:r>
      <w:r>
        <w:rPr>
          <w:rFonts w:hint="eastAsia" w:ascii="仿宋_GB2312" w:hAnsi="仿宋_GB2312" w:eastAsia="仿宋_GB2312" w:cs="仿宋_GB2312"/>
          <w:color w:val="000000" w:themeColor="text1"/>
          <w:sz w:val="32"/>
          <w:szCs w:val="32"/>
        </w:rPr>
        <w:t>。</w:t>
      </w:r>
    </w:p>
    <w:p>
      <w:pPr>
        <w:pStyle w:val="14"/>
        <w:spacing w:line="520" w:lineRule="exact"/>
        <w:ind w:firstLine="640" w:firstLineChars="200"/>
        <w:rPr>
          <w:rFonts w:ascii="黑体" w:hAnsi="黑体" w:eastAsia="黑体" w:cs="黑体"/>
          <w:bCs/>
          <w:color w:val="000000" w:themeColor="text1"/>
          <w:kern w:val="2"/>
          <w:sz w:val="32"/>
          <w:szCs w:val="32"/>
        </w:rPr>
      </w:pPr>
      <w:r>
        <w:rPr>
          <w:rFonts w:hint="eastAsia" w:ascii="黑体" w:hAnsi="黑体" w:eastAsia="黑体" w:cs="黑体"/>
          <w:bCs/>
          <w:color w:val="000000" w:themeColor="text1"/>
          <w:kern w:val="2"/>
          <w:sz w:val="32"/>
          <w:szCs w:val="32"/>
        </w:rPr>
        <w:t>三、名词解释</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1.财政拨款收入：本级财政部门当年拨付的财政预算资金，包括一般公共预算财政拨款</w:t>
      </w:r>
      <w:r>
        <w:rPr>
          <w:rFonts w:hint="eastAsia" w:ascii="仿宋_GB2312" w:eastAsia="仿宋_GB2312"/>
          <w:color w:val="000000" w:themeColor="text1"/>
          <w:sz w:val="32"/>
          <w:szCs w:val="32"/>
        </w:rPr>
        <w:t>、</w:t>
      </w:r>
      <w:r>
        <w:rPr>
          <w:rFonts w:hint="eastAsia" w:ascii="仿宋_GB2312" w:hAnsi="仿宋_GB2312" w:eastAsia="仿宋_GB2312" w:cs="仿宋_GB2312"/>
          <w:color w:val="000000" w:themeColor="text1"/>
          <w:sz w:val="32"/>
          <w:szCs w:val="32"/>
        </w:rPr>
        <w:t>政府性基金预算和国有资本经营预算财政拨款。</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2.财政专户管理资金:教育收费作为本部门的事业收入，纳入财政专户管理的资金。</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3.事业收入：事业单位开展专业业务活动及辅助活动所取得的收入，不含财政专户管理资金收入。</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4.事业单位经营收入：事业单位在专业业务活动及辅助活动之外开展非独立核算经营活动取得的收入。</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5.其他收入：预算单位在“一般公共预算”“政府性基金预算”“国有资本经营预算”“财政专户管理资金”“事业收入”“事业单位经营收入”“上级补助收入”和“附属单位上缴收入”等之外取得的各项收入。</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6.上年结转结余：包括财政拨款结转结余、财政专户管理结转结余和单位资金结转结余。</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7.基本支出：是预算单位为保障其正常运转，完成日常工作任务所发生的支出，包括人员支出和日常公用支出。</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8.项目支出：是预算单位为完成其特定的行政工作任务或事业发展目标所发生的支出。</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lang w:val="en-US" w:eastAsia="zh-CN"/>
        </w:rPr>
        <w:t>9</w:t>
      </w:r>
      <w:r>
        <w:rPr>
          <w:rFonts w:hint="eastAsia" w:ascii="仿宋_GB2312" w:hAnsi="仿宋_GB2312" w:eastAsia="仿宋_GB2312" w:cs="仿宋_GB2312"/>
          <w:color w:val="000000" w:themeColor="text1"/>
          <w:sz w:val="32"/>
          <w:szCs w:val="32"/>
        </w:rPr>
        <w:t>.“三公”经费：纳入财政预决算管理的“三公”经费，是指部门用一般公共预算财政拨款安排的因公出国（境）费</w:t>
      </w:r>
      <w:r>
        <w:rPr>
          <w:rFonts w:hint="eastAsia" w:ascii="仿宋_GB2312" w:hAnsi="仿宋_GB2312" w:eastAsia="仿宋_GB2312" w:cs="仿宋_GB2312"/>
          <w:color w:val="000000" w:themeColor="text1"/>
          <w:sz w:val="32"/>
          <w:szCs w:val="32"/>
          <w:lang w:val="en-US" w:eastAsia="zh-CN"/>
        </w:rPr>
        <w:t>用</w:t>
      </w:r>
      <w:r>
        <w:rPr>
          <w:rFonts w:hint="eastAsia" w:ascii="仿宋_GB2312" w:hAnsi="仿宋_GB2312" w:eastAsia="仿宋_GB2312" w:cs="仿宋_GB2312"/>
          <w:color w:val="000000" w:themeColor="text1"/>
          <w:sz w:val="32"/>
          <w:szCs w:val="32"/>
        </w:rPr>
        <w:t>、公务用车购置及运行费和公务接待费。其中，因公出国（境）费</w:t>
      </w:r>
      <w:r>
        <w:rPr>
          <w:rFonts w:hint="eastAsia" w:ascii="仿宋_GB2312" w:hAnsi="仿宋_GB2312" w:eastAsia="仿宋_GB2312" w:cs="仿宋_GB2312"/>
          <w:color w:val="000000" w:themeColor="text1"/>
          <w:sz w:val="32"/>
          <w:szCs w:val="32"/>
          <w:lang w:val="en-US" w:eastAsia="zh-CN"/>
        </w:rPr>
        <w:t>用</w:t>
      </w:r>
      <w:r>
        <w:rPr>
          <w:rFonts w:hint="eastAsia" w:ascii="仿宋_GB2312" w:hAnsi="仿宋_GB2312" w:eastAsia="仿宋_GB2312" w:cs="仿宋_GB2312"/>
          <w:color w:val="000000" w:themeColor="text1"/>
          <w:sz w:val="32"/>
          <w:szCs w:val="32"/>
        </w:rPr>
        <w:t>反映单位公务出国（境）的国际旅费、国外城市间交通费、住宿费、伙食费、培训费、公杂费等支出，不含教学科研人员学术交流出国（境）费用；公务用车购置及运行费反映单位公务用车车辆购置支出（含车辆购置税）及燃料费、新能源汽车充电费、维修费、过桥过路费、保险费、安全奖励费用等支出；公务接待费反映单位按规定开支的各类公务接待（含外宾接待）支出。</w:t>
      </w:r>
    </w:p>
    <w:p>
      <w:pPr>
        <w:spacing w:line="520" w:lineRule="exact"/>
        <w:ind w:firstLine="640" w:firstLineChars="200"/>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w:t>
      </w:r>
      <w:r>
        <w:rPr>
          <w:rFonts w:hint="eastAsia" w:ascii="仿宋_GB2312" w:hAnsi="仿宋_GB2312" w:eastAsia="仿宋_GB2312" w:cs="仿宋_GB2312"/>
          <w:color w:val="000000" w:themeColor="text1"/>
          <w:sz w:val="32"/>
          <w:szCs w:val="32"/>
          <w:lang w:val="en-US" w:eastAsia="zh-CN"/>
        </w:rPr>
        <w:t>0</w:t>
      </w:r>
      <w:r>
        <w:rPr>
          <w:rFonts w:hint="eastAsia" w:ascii="仿宋_GB2312" w:hAnsi="仿宋_GB2312" w:eastAsia="仿宋_GB2312" w:cs="仿宋_GB2312"/>
          <w:color w:val="000000" w:themeColor="text1"/>
          <w:sz w:val="32"/>
          <w:szCs w:val="32"/>
        </w:rPr>
        <w:t>.机关运行经费：指为保障行政单位（含参照公务员法管理的事业单位）运行用于购买货物和服务的各项资金，包括办公</w:t>
      </w:r>
      <w:r>
        <w:rPr>
          <w:rFonts w:hint="eastAsia" w:ascii="仿宋_GB2312" w:hAnsi="仿宋_GB2312" w:eastAsia="仿宋_GB2312" w:cs="仿宋_GB2312"/>
          <w:color w:val="000000" w:themeColor="text1"/>
          <w:sz w:val="32"/>
          <w:szCs w:val="32"/>
          <w:lang w:val="en-US" w:eastAsia="zh-CN"/>
        </w:rPr>
        <w:t>费、</w:t>
      </w:r>
      <w:r>
        <w:rPr>
          <w:rFonts w:hint="eastAsia" w:ascii="仿宋_GB2312" w:hAnsi="仿宋_GB2312" w:eastAsia="仿宋_GB2312" w:cs="仿宋_GB2312"/>
          <w:color w:val="000000" w:themeColor="text1"/>
          <w:sz w:val="32"/>
          <w:szCs w:val="32"/>
        </w:rPr>
        <w:t>印刷费、邮电费、差旅费、会议费、福利费、日常维修费、专用材料</w:t>
      </w:r>
      <w:r>
        <w:rPr>
          <w:rFonts w:hint="eastAsia" w:ascii="仿宋_GB2312" w:hAnsi="仿宋_GB2312" w:eastAsia="仿宋_GB2312" w:cs="仿宋_GB2312"/>
          <w:color w:val="000000" w:themeColor="text1"/>
          <w:sz w:val="32"/>
          <w:szCs w:val="32"/>
          <w:lang w:val="en-US" w:eastAsia="zh-CN"/>
        </w:rPr>
        <w:t>费</w:t>
      </w:r>
      <w:r>
        <w:rPr>
          <w:rFonts w:hint="eastAsia" w:ascii="仿宋_GB2312" w:hAnsi="仿宋_GB2312" w:eastAsia="仿宋_GB2312" w:cs="仿宋_GB2312"/>
          <w:color w:val="000000" w:themeColor="text1"/>
          <w:sz w:val="32"/>
          <w:szCs w:val="32"/>
        </w:rPr>
        <w:t>及</w:t>
      </w:r>
      <w:r>
        <w:rPr>
          <w:rFonts w:hint="eastAsia" w:ascii="仿宋_GB2312" w:hAnsi="仿宋_GB2312" w:eastAsia="仿宋_GB2312" w:cs="仿宋_GB2312"/>
          <w:color w:val="000000" w:themeColor="text1"/>
          <w:sz w:val="32"/>
          <w:szCs w:val="32"/>
          <w:lang w:val="en-US" w:eastAsia="zh-CN"/>
        </w:rPr>
        <w:t>办公</w:t>
      </w:r>
      <w:r>
        <w:rPr>
          <w:rFonts w:hint="eastAsia" w:ascii="仿宋_GB2312" w:hAnsi="仿宋_GB2312" w:eastAsia="仿宋_GB2312" w:cs="仿宋_GB2312"/>
          <w:color w:val="000000" w:themeColor="text1"/>
          <w:sz w:val="32"/>
          <w:szCs w:val="32"/>
        </w:rPr>
        <w:t>设备购置费、办公用房水电费、办公用房取暖费、办公用房物业管理费、公务用车运行维护费以及其他费用。</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95A99C"/>
    <w:multiLevelType w:val="singleLevel"/>
    <w:tmpl w:val="5895A99C"/>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8453C"/>
    <w:rsid w:val="00037FBA"/>
    <w:rsid w:val="00084C3B"/>
    <w:rsid w:val="000F6704"/>
    <w:rsid w:val="0014553D"/>
    <w:rsid w:val="00151805"/>
    <w:rsid w:val="0018453C"/>
    <w:rsid w:val="001C6D6F"/>
    <w:rsid w:val="001D7273"/>
    <w:rsid w:val="001F186B"/>
    <w:rsid w:val="0025199F"/>
    <w:rsid w:val="00262BFB"/>
    <w:rsid w:val="002E190E"/>
    <w:rsid w:val="00312421"/>
    <w:rsid w:val="0034320B"/>
    <w:rsid w:val="0035041B"/>
    <w:rsid w:val="00352D79"/>
    <w:rsid w:val="003533AA"/>
    <w:rsid w:val="00372A55"/>
    <w:rsid w:val="003A54FF"/>
    <w:rsid w:val="003E68CE"/>
    <w:rsid w:val="004C1A7E"/>
    <w:rsid w:val="004E07B6"/>
    <w:rsid w:val="004F65D0"/>
    <w:rsid w:val="004F6D96"/>
    <w:rsid w:val="0054517F"/>
    <w:rsid w:val="0055355B"/>
    <w:rsid w:val="00576237"/>
    <w:rsid w:val="005B1AB5"/>
    <w:rsid w:val="005D0D77"/>
    <w:rsid w:val="005E0A27"/>
    <w:rsid w:val="005E47B3"/>
    <w:rsid w:val="005E7D52"/>
    <w:rsid w:val="00655F61"/>
    <w:rsid w:val="006B2E4F"/>
    <w:rsid w:val="006C39E2"/>
    <w:rsid w:val="006D5442"/>
    <w:rsid w:val="006D7FE3"/>
    <w:rsid w:val="006E085B"/>
    <w:rsid w:val="006F455E"/>
    <w:rsid w:val="007072D9"/>
    <w:rsid w:val="00731A0A"/>
    <w:rsid w:val="0073245A"/>
    <w:rsid w:val="00755A48"/>
    <w:rsid w:val="007715EF"/>
    <w:rsid w:val="007A0C65"/>
    <w:rsid w:val="007B431F"/>
    <w:rsid w:val="007D24B2"/>
    <w:rsid w:val="007E4CC3"/>
    <w:rsid w:val="00801E01"/>
    <w:rsid w:val="00823268"/>
    <w:rsid w:val="00834DDF"/>
    <w:rsid w:val="00850DC9"/>
    <w:rsid w:val="0089440C"/>
    <w:rsid w:val="00937AE8"/>
    <w:rsid w:val="009415A1"/>
    <w:rsid w:val="009427F2"/>
    <w:rsid w:val="009A7459"/>
    <w:rsid w:val="009B71E7"/>
    <w:rsid w:val="00A76362"/>
    <w:rsid w:val="00A86842"/>
    <w:rsid w:val="00AB2741"/>
    <w:rsid w:val="00B109C2"/>
    <w:rsid w:val="00B85FDA"/>
    <w:rsid w:val="00BA6311"/>
    <w:rsid w:val="00C35F38"/>
    <w:rsid w:val="00C35FDD"/>
    <w:rsid w:val="00C47BB8"/>
    <w:rsid w:val="00C50353"/>
    <w:rsid w:val="00C52D1F"/>
    <w:rsid w:val="00CC1B9F"/>
    <w:rsid w:val="00CE3F52"/>
    <w:rsid w:val="00D7617F"/>
    <w:rsid w:val="00D81B35"/>
    <w:rsid w:val="00DA4451"/>
    <w:rsid w:val="00DA6F5B"/>
    <w:rsid w:val="00DA7F84"/>
    <w:rsid w:val="00DF037C"/>
    <w:rsid w:val="00E16F71"/>
    <w:rsid w:val="00E20FB4"/>
    <w:rsid w:val="00E40834"/>
    <w:rsid w:val="00E429D8"/>
    <w:rsid w:val="00E44C58"/>
    <w:rsid w:val="00E61E40"/>
    <w:rsid w:val="00E925CD"/>
    <w:rsid w:val="00E95C9E"/>
    <w:rsid w:val="00ED0384"/>
    <w:rsid w:val="00F23B56"/>
    <w:rsid w:val="00F56A05"/>
    <w:rsid w:val="00F7116F"/>
    <w:rsid w:val="01405C62"/>
    <w:rsid w:val="01F263DB"/>
    <w:rsid w:val="01F648EB"/>
    <w:rsid w:val="024C6702"/>
    <w:rsid w:val="026505B4"/>
    <w:rsid w:val="028630A1"/>
    <w:rsid w:val="02FD4879"/>
    <w:rsid w:val="038C7FF1"/>
    <w:rsid w:val="03AA3E3B"/>
    <w:rsid w:val="03EA5C50"/>
    <w:rsid w:val="0458580D"/>
    <w:rsid w:val="04600135"/>
    <w:rsid w:val="05054F3D"/>
    <w:rsid w:val="05F46152"/>
    <w:rsid w:val="05F835B0"/>
    <w:rsid w:val="06113422"/>
    <w:rsid w:val="063B27DE"/>
    <w:rsid w:val="065E25EC"/>
    <w:rsid w:val="06835E42"/>
    <w:rsid w:val="06F965CB"/>
    <w:rsid w:val="07487AC1"/>
    <w:rsid w:val="07623DA7"/>
    <w:rsid w:val="081119C7"/>
    <w:rsid w:val="08DE4DFD"/>
    <w:rsid w:val="0A1D1E06"/>
    <w:rsid w:val="0A4C7CCD"/>
    <w:rsid w:val="0B486D9D"/>
    <w:rsid w:val="0B4F52A1"/>
    <w:rsid w:val="0B652DFD"/>
    <w:rsid w:val="0B654246"/>
    <w:rsid w:val="0BD448F3"/>
    <w:rsid w:val="0C7B7749"/>
    <w:rsid w:val="0CE2397A"/>
    <w:rsid w:val="0CEE5818"/>
    <w:rsid w:val="0DDF3EA9"/>
    <w:rsid w:val="0F0A0BC6"/>
    <w:rsid w:val="0F216C64"/>
    <w:rsid w:val="0F3E23E2"/>
    <w:rsid w:val="0F5C4EB1"/>
    <w:rsid w:val="0F760C96"/>
    <w:rsid w:val="0F8B51E9"/>
    <w:rsid w:val="0FEA06B3"/>
    <w:rsid w:val="106B2554"/>
    <w:rsid w:val="1085571C"/>
    <w:rsid w:val="10AD6224"/>
    <w:rsid w:val="113F7BA5"/>
    <w:rsid w:val="12970A77"/>
    <w:rsid w:val="12D300E7"/>
    <w:rsid w:val="136B79EF"/>
    <w:rsid w:val="1370543F"/>
    <w:rsid w:val="13811EEE"/>
    <w:rsid w:val="13FF3975"/>
    <w:rsid w:val="14861683"/>
    <w:rsid w:val="14887B46"/>
    <w:rsid w:val="14EF3497"/>
    <w:rsid w:val="153C45B3"/>
    <w:rsid w:val="157947AC"/>
    <w:rsid w:val="15DB09EF"/>
    <w:rsid w:val="1650535C"/>
    <w:rsid w:val="16B75B8F"/>
    <w:rsid w:val="16FE1938"/>
    <w:rsid w:val="170C3948"/>
    <w:rsid w:val="178056C8"/>
    <w:rsid w:val="17EC7FC1"/>
    <w:rsid w:val="17F81734"/>
    <w:rsid w:val="180061CB"/>
    <w:rsid w:val="18154C5A"/>
    <w:rsid w:val="18EF3804"/>
    <w:rsid w:val="19001E74"/>
    <w:rsid w:val="195C3A7E"/>
    <w:rsid w:val="1A2375F0"/>
    <w:rsid w:val="1AC0275A"/>
    <w:rsid w:val="1AE500E3"/>
    <w:rsid w:val="1B1D1342"/>
    <w:rsid w:val="1B2A6629"/>
    <w:rsid w:val="1BBC2184"/>
    <w:rsid w:val="1C103D2D"/>
    <w:rsid w:val="1C1965EC"/>
    <w:rsid w:val="1C7701B9"/>
    <w:rsid w:val="1CEA3F89"/>
    <w:rsid w:val="1CF73295"/>
    <w:rsid w:val="1D451326"/>
    <w:rsid w:val="1D5F4748"/>
    <w:rsid w:val="1D99665F"/>
    <w:rsid w:val="1E621D9B"/>
    <w:rsid w:val="1E9448CB"/>
    <w:rsid w:val="1E945AB3"/>
    <w:rsid w:val="1EA3498E"/>
    <w:rsid w:val="1EFB5835"/>
    <w:rsid w:val="1F5052F4"/>
    <w:rsid w:val="1F8A1433"/>
    <w:rsid w:val="1FD94E57"/>
    <w:rsid w:val="205247F6"/>
    <w:rsid w:val="205508A0"/>
    <w:rsid w:val="206501BF"/>
    <w:rsid w:val="20C21B5F"/>
    <w:rsid w:val="20D8491F"/>
    <w:rsid w:val="2163103A"/>
    <w:rsid w:val="217D79B3"/>
    <w:rsid w:val="219B3B12"/>
    <w:rsid w:val="219E2440"/>
    <w:rsid w:val="21F8300E"/>
    <w:rsid w:val="22D4227E"/>
    <w:rsid w:val="22FA27EC"/>
    <w:rsid w:val="230477A4"/>
    <w:rsid w:val="234550B7"/>
    <w:rsid w:val="2384696C"/>
    <w:rsid w:val="23B968AE"/>
    <w:rsid w:val="240772FF"/>
    <w:rsid w:val="24183DF0"/>
    <w:rsid w:val="247778DD"/>
    <w:rsid w:val="247A77A8"/>
    <w:rsid w:val="24D6630F"/>
    <w:rsid w:val="24F84929"/>
    <w:rsid w:val="252A0A7B"/>
    <w:rsid w:val="257B506C"/>
    <w:rsid w:val="259F7519"/>
    <w:rsid w:val="25AF42DB"/>
    <w:rsid w:val="25B348BA"/>
    <w:rsid w:val="25DE1005"/>
    <w:rsid w:val="25FD2566"/>
    <w:rsid w:val="26146B0C"/>
    <w:rsid w:val="26816946"/>
    <w:rsid w:val="26DB7398"/>
    <w:rsid w:val="27033FBD"/>
    <w:rsid w:val="2705728B"/>
    <w:rsid w:val="27417BF8"/>
    <w:rsid w:val="27693B45"/>
    <w:rsid w:val="283A129B"/>
    <w:rsid w:val="28FE78EF"/>
    <w:rsid w:val="29672817"/>
    <w:rsid w:val="29763DAA"/>
    <w:rsid w:val="29954B63"/>
    <w:rsid w:val="29A41943"/>
    <w:rsid w:val="29B831E7"/>
    <w:rsid w:val="29DF16A7"/>
    <w:rsid w:val="29F74F67"/>
    <w:rsid w:val="2A484907"/>
    <w:rsid w:val="2B755902"/>
    <w:rsid w:val="2BA81833"/>
    <w:rsid w:val="2BAC3F70"/>
    <w:rsid w:val="2BB02AB9"/>
    <w:rsid w:val="2C56166B"/>
    <w:rsid w:val="2C772798"/>
    <w:rsid w:val="2C897DD3"/>
    <w:rsid w:val="2CE33635"/>
    <w:rsid w:val="2D391980"/>
    <w:rsid w:val="2D7C6F9A"/>
    <w:rsid w:val="2ED263DE"/>
    <w:rsid w:val="2F312BD6"/>
    <w:rsid w:val="2F4F315F"/>
    <w:rsid w:val="2F5260FE"/>
    <w:rsid w:val="2F78760A"/>
    <w:rsid w:val="30072B06"/>
    <w:rsid w:val="30780EC9"/>
    <w:rsid w:val="309A0801"/>
    <w:rsid w:val="31651329"/>
    <w:rsid w:val="31C46552"/>
    <w:rsid w:val="31EC7268"/>
    <w:rsid w:val="32691E0F"/>
    <w:rsid w:val="33722AF4"/>
    <w:rsid w:val="339F6CDD"/>
    <w:rsid w:val="344952F9"/>
    <w:rsid w:val="34962644"/>
    <w:rsid w:val="34F20284"/>
    <w:rsid w:val="3619346A"/>
    <w:rsid w:val="366152C5"/>
    <w:rsid w:val="37DD34EA"/>
    <w:rsid w:val="3859649B"/>
    <w:rsid w:val="386D2696"/>
    <w:rsid w:val="38CA384A"/>
    <w:rsid w:val="39227B1B"/>
    <w:rsid w:val="39406911"/>
    <w:rsid w:val="39850296"/>
    <w:rsid w:val="399452DB"/>
    <w:rsid w:val="39C26750"/>
    <w:rsid w:val="3A7F1D43"/>
    <w:rsid w:val="3A8D223E"/>
    <w:rsid w:val="3B291386"/>
    <w:rsid w:val="3B563038"/>
    <w:rsid w:val="3B7A306D"/>
    <w:rsid w:val="3B80307E"/>
    <w:rsid w:val="3BC5D2EA"/>
    <w:rsid w:val="3BCA7BD7"/>
    <w:rsid w:val="3C6C37E2"/>
    <w:rsid w:val="3C7D1C3F"/>
    <w:rsid w:val="3CDF42B5"/>
    <w:rsid w:val="3CEA3E5A"/>
    <w:rsid w:val="3CFD6A0C"/>
    <w:rsid w:val="3DDA1E4D"/>
    <w:rsid w:val="400943B7"/>
    <w:rsid w:val="40143523"/>
    <w:rsid w:val="406B2735"/>
    <w:rsid w:val="4171469C"/>
    <w:rsid w:val="41857EAB"/>
    <w:rsid w:val="42C454C8"/>
    <w:rsid w:val="42EC4BA0"/>
    <w:rsid w:val="43482ADF"/>
    <w:rsid w:val="43497E11"/>
    <w:rsid w:val="438C52D1"/>
    <w:rsid w:val="43AF1DC7"/>
    <w:rsid w:val="442360D8"/>
    <w:rsid w:val="450B3104"/>
    <w:rsid w:val="45374F70"/>
    <w:rsid w:val="45A32D85"/>
    <w:rsid w:val="45E922E2"/>
    <w:rsid w:val="46181B9F"/>
    <w:rsid w:val="46B73DB3"/>
    <w:rsid w:val="46B85A12"/>
    <w:rsid w:val="46C20ABF"/>
    <w:rsid w:val="471C5409"/>
    <w:rsid w:val="475E76EE"/>
    <w:rsid w:val="47B54AE2"/>
    <w:rsid w:val="47C24104"/>
    <w:rsid w:val="484652C3"/>
    <w:rsid w:val="489E735B"/>
    <w:rsid w:val="48EF215B"/>
    <w:rsid w:val="49547ADE"/>
    <w:rsid w:val="499358EA"/>
    <w:rsid w:val="49A70025"/>
    <w:rsid w:val="4A873B6E"/>
    <w:rsid w:val="4A9518DB"/>
    <w:rsid w:val="4AB935E6"/>
    <w:rsid w:val="4B1F601E"/>
    <w:rsid w:val="4B65339C"/>
    <w:rsid w:val="4BE2220E"/>
    <w:rsid w:val="4CBF2857"/>
    <w:rsid w:val="4CF82AE4"/>
    <w:rsid w:val="4D097364"/>
    <w:rsid w:val="4D667BB3"/>
    <w:rsid w:val="4D7808AB"/>
    <w:rsid w:val="4DC87963"/>
    <w:rsid w:val="4E0626FD"/>
    <w:rsid w:val="4EA45B39"/>
    <w:rsid w:val="4EED2017"/>
    <w:rsid w:val="4F2E2211"/>
    <w:rsid w:val="4F4E78CD"/>
    <w:rsid w:val="4FA62E1E"/>
    <w:rsid w:val="4FAC0AB2"/>
    <w:rsid w:val="4FC809F8"/>
    <w:rsid w:val="4FE85961"/>
    <w:rsid w:val="50072C4D"/>
    <w:rsid w:val="50341189"/>
    <w:rsid w:val="50837233"/>
    <w:rsid w:val="514C5668"/>
    <w:rsid w:val="51513799"/>
    <w:rsid w:val="518C29B6"/>
    <w:rsid w:val="52170DB7"/>
    <w:rsid w:val="52AA23A8"/>
    <w:rsid w:val="52B7187A"/>
    <w:rsid w:val="52BF3A93"/>
    <w:rsid w:val="53A5465B"/>
    <w:rsid w:val="53B6028C"/>
    <w:rsid w:val="54392B16"/>
    <w:rsid w:val="54442E65"/>
    <w:rsid w:val="545B2AA1"/>
    <w:rsid w:val="549B5701"/>
    <w:rsid w:val="54A9277D"/>
    <w:rsid w:val="55182E77"/>
    <w:rsid w:val="553F16B7"/>
    <w:rsid w:val="558856A9"/>
    <w:rsid w:val="55CA2A9E"/>
    <w:rsid w:val="55CA3B80"/>
    <w:rsid w:val="55E50F1B"/>
    <w:rsid w:val="565F6886"/>
    <w:rsid w:val="56BC237C"/>
    <w:rsid w:val="56CD4B4D"/>
    <w:rsid w:val="575C7815"/>
    <w:rsid w:val="5798381B"/>
    <w:rsid w:val="57D4447A"/>
    <w:rsid w:val="57F759F2"/>
    <w:rsid w:val="585447AE"/>
    <w:rsid w:val="587D6AF0"/>
    <w:rsid w:val="58AF736D"/>
    <w:rsid w:val="58D704D4"/>
    <w:rsid w:val="58EC4DE1"/>
    <w:rsid w:val="596B72CE"/>
    <w:rsid w:val="59B3494A"/>
    <w:rsid w:val="59EB1B1F"/>
    <w:rsid w:val="59EC6E24"/>
    <w:rsid w:val="5A0B2520"/>
    <w:rsid w:val="5A186813"/>
    <w:rsid w:val="5A3B2376"/>
    <w:rsid w:val="5A40591F"/>
    <w:rsid w:val="5A6F0692"/>
    <w:rsid w:val="5ABF2E42"/>
    <w:rsid w:val="5B586398"/>
    <w:rsid w:val="5B5E26D5"/>
    <w:rsid w:val="5B916903"/>
    <w:rsid w:val="5BEF472E"/>
    <w:rsid w:val="5C932202"/>
    <w:rsid w:val="5CC87E6F"/>
    <w:rsid w:val="5CD918EA"/>
    <w:rsid w:val="5D247D3D"/>
    <w:rsid w:val="5D3B6289"/>
    <w:rsid w:val="5DAE1AC9"/>
    <w:rsid w:val="5E153AF5"/>
    <w:rsid w:val="5F0E1E7F"/>
    <w:rsid w:val="5F112305"/>
    <w:rsid w:val="5F2767B3"/>
    <w:rsid w:val="5FE31F70"/>
    <w:rsid w:val="60045498"/>
    <w:rsid w:val="614C1844"/>
    <w:rsid w:val="617A6C2D"/>
    <w:rsid w:val="61855523"/>
    <w:rsid w:val="618968F0"/>
    <w:rsid w:val="619E6355"/>
    <w:rsid w:val="61BD64DA"/>
    <w:rsid w:val="6215384D"/>
    <w:rsid w:val="627460EE"/>
    <w:rsid w:val="62AC06BC"/>
    <w:rsid w:val="633B4987"/>
    <w:rsid w:val="63525D55"/>
    <w:rsid w:val="63F321C7"/>
    <w:rsid w:val="64BD699D"/>
    <w:rsid w:val="64C20A08"/>
    <w:rsid w:val="64F06443"/>
    <w:rsid w:val="65737FB9"/>
    <w:rsid w:val="65DF5ECF"/>
    <w:rsid w:val="661D7FD4"/>
    <w:rsid w:val="665A45AE"/>
    <w:rsid w:val="66A662C4"/>
    <w:rsid w:val="66DE2D4E"/>
    <w:rsid w:val="67222B8A"/>
    <w:rsid w:val="679D182D"/>
    <w:rsid w:val="67BB6396"/>
    <w:rsid w:val="68794E30"/>
    <w:rsid w:val="687B5327"/>
    <w:rsid w:val="688621C1"/>
    <w:rsid w:val="68C15BDE"/>
    <w:rsid w:val="6A7C74AA"/>
    <w:rsid w:val="6AD23ACD"/>
    <w:rsid w:val="6AE706B2"/>
    <w:rsid w:val="6B103823"/>
    <w:rsid w:val="6B315A81"/>
    <w:rsid w:val="6B4E7636"/>
    <w:rsid w:val="6C3F4637"/>
    <w:rsid w:val="6C9D07C7"/>
    <w:rsid w:val="6CB426A8"/>
    <w:rsid w:val="6D3835CD"/>
    <w:rsid w:val="6D9B59D3"/>
    <w:rsid w:val="6DDF18A8"/>
    <w:rsid w:val="6E7742D5"/>
    <w:rsid w:val="6E947A29"/>
    <w:rsid w:val="6EFB1E55"/>
    <w:rsid w:val="701E0D35"/>
    <w:rsid w:val="708C2BAE"/>
    <w:rsid w:val="717A54B6"/>
    <w:rsid w:val="71E47115"/>
    <w:rsid w:val="72124418"/>
    <w:rsid w:val="72BF52A3"/>
    <w:rsid w:val="73520170"/>
    <w:rsid w:val="73B32D5B"/>
    <w:rsid w:val="74906E74"/>
    <w:rsid w:val="74D2633E"/>
    <w:rsid w:val="75061B64"/>
    <w:rsid w:val="75127B2A"/>
    <w:rsid w:val="756B70AB"/>
    <w:rsid w:val="762D45E7"/>
    <w:rsid w:val="76432C97"/>
    <w:rsid w:val="76472E5B"/>
    <w:rsid w:val="76622032"/>
    <w:rsid w:val="76DA2B8D"/>
    <w:rsid w:val="773F1B2E"/>
    <w:rsid w:val="7744D4D5"/>
    <w:rsid w:val="776141C0"/>
    <w:rsid w:val="77E71EE7"/>
    <w:rsid w:val="78403651"/>
    <w:rsid w:val="784051C1"/>
    <w:rsid w:val="789E16E5"/>
    <w:rsid w:val="78DB40C6"/>
    <w:rsid w:val="7954401D"/>
    <w:rsid w:val="79547EF1"/>
    <w:rsid w:val="79A24C96"/>
    <w:rsid w:val="7AC02D1F"/>
    <w:rsid w:val="7AE80A7B"/>
    <w:rsid w:val="7AE861A8"/>
    <w:rsid w:val="7B452E9A"/>
    <w:rsid w:val="7B5C7060"/>
    <w:rsid w:val="7B5E14E4"/>
    <w:rsid w:val="7B741965"/>
    <w:rsid w:val="7BBF78B4"/>
    <w:rsid w:val="7BFE30BC"/>
    <w:rsid w:val="7C0A7BF1"/>
    <w:rsid w:val="7CD24C07"/>
    <w:rsid w:val="7CDC2C2D"/>
    <w:rsid w:val="7CDD0037"/>
    <w:rsid w:val="7D2C5AF6"/>
    <w:rsid w:val="7D8F4D87"/>
    <w:rsid w:val="7DBB66FE"/>
    <w:rsid w:val="7DBE27C1"/>
    <w:rsid w:val="7DCA5F0F"/>
    <w:rsid w:val="7E1F736F"/>
    <w:rsid w:val="7E300305"/>
    <w:rsid w:val="7E7D74C3"/>
    <w:rsid w:val="7EB52BD6"/>
    <w:rsid w:val="7EF2C2EC"/>
    <w:rsid w:val="7F346A78"/>
    <w:rsid w:val="7FA57776"/>
    <w:rsid w:val="7FB6A531"/>
    <w:rsid w:val="7FC2506D"/>
    <w:rsid w:val="DDFE455F"/>
    <w:rsid w:val="EEB752D0"/>
    <w:rsid w:val="EFEBAAB6"/>
    <w:rsid w:val="F3FDC4D3"/>
    <w:rsid w:val="F4FFBBE8"/>
    <w:rsid w:val="F7EFE841"/>
    <w:rsid w:val="F7FBB6DC"/>
    <w:rsid w:val="FF6F23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styleId="3">
    <w:name w:val="Document Map"/>
    <w:basedOn w:val="1"/>
    <w:semiHidden/>
    <w:qFormat/>
    <w:uiPriority w:val="0"/>
    <w:pPr>
      <w:shd w:val="clear" w:color="auto" w:fill="00008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paragraph" w:customStyle="1" w:styleId="10">
    <w:name w:val="Char"/>
    <w:basedOn w:val="1"/>
    <w:qFormat/>
    <w:uiPriority w:val="0"/>
    <w:rPr>
      <w:rFonts w:ascii="宋体" w:hAnsi="宋体" w:cs="Courier New"/>
      <w:sz w:val="32"/>
      <w:szCs w:val="32"/>
    </w:rPr>
  </w:style>
  <w:style w:type="character" w:customStyle="1" w:styleId="11">
    <w:name w:val="页眉 Char"/>
    <w:link w:val="5"/>
    <w:qFormat/>
    <w:uiPriority w:val="0"/>
    <w:rPr>
      <w:kern w:val="2"/>
      <w:sz w:val="18"/>
      <w:szCs w:val="18"/>
    </w:rPr>
  </w:style>
  <w:style w:type="character" w:customStyle="1" w:styleId="12">
    <w:name w:val="页脚 Char"/>
    <w:link w:val="4"/>
    <w:qFormat/>
    <w:uiPriority w:val="0"/>
    <w:rPr>
      <w:kern w:val="2"/>
      <w:sz w:val="18"/>
      <w:szCs w:val="18"/>
    </w:rPr>
  </w:style>
  <w:style w:type="paragraph" w:customStyle="1" w:styleId="13">
    <w:name w:val="[Normal]"/>
    <w:qFormat/>
    <w:uiPriority w:val="0"/>
    <w:rPr>
      <w:rFonts w:ascii="宋体" w:hAnsi="宋体" w:eastAsia="宋体" w:cs="Times New Roman"/>
      <w:sz w:val="24"/>
      <w:lang w:val="zh-CN" w:eastAsia="zh-CN" w:bidi="ar-SA"/>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xc</Company>
  <Pages>19</Pages>
  <Words>9460</Words>
  <Characters>10215</Characters>
  <Lines>145</Lines>
  <Paragraphs>54</Paragraphs>
  <TotalTime>3</TotalTime>
  <ScaleCrop>false</ScaleCrop>
  <LinksUpToDate>false</LinksUpToDate>
  <CharactersWithSpaces>10242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2020-01-07T16:45:00Z</dcterms:created>
  <dc:creator>dsx</dc:creator>
  <cp:lastModifiedBy>叶水花</cp:lastModifiedBy>
  <dcterms:modified xsi:type="dcterms:W3CDTF">2025-03-28T08:32:43Z</dcterms:modified>
  <dc:title>关于2019年部门预算的批复</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EDOID">
    <vt:r8>5838458</vt:r8>
  </property>
  <property fmtid="{D5CDD505-2E9C-101B-9397-08002B2CF9AE}" pid="4" name="ICV">
    <vt:lpwstr>AE293BE06396464AB610D12C04197BE8_13</vt:lpwstr>
  </property>
  <property fmtid="{D5CDD505-2E9C-101B-9397-08002B2CF9AE}" pid="5" name="KSOTemplateDocerSaveRecord">
    <vt:lpwstr>eyJoZGlkIjoiMDkyMzBhOWU1ZmQyNTE3YzlkZWViNjFmMzM0OWUyNGQifQ==</vt:lpwstr>
  </property>
</Properties>
</file>