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pacing w:val="15"/>
          <w:sz w:val="32"/>
          <w:szCs w:val="32"/>
        </w:rPr>
      </w:pPr>
    </w:p>
    <w:p>
      <w:pPr>
        <w:spacing w:line="560" w:lineRule="exact"/>
        <w:jc w:val="center"/>
        <w:rPr>
          <w:rFonts w:ascii="方正小标宋简体" w:hAnsi="方正小标宋简体" w:eastAsia="方正小标宋简体" w:cs="方正小标宋简体"/>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r>
        <w:rPr>
          <w:rFonts w:ascii="方正小标宋简体" w:hAnsi="方正小标宋简体" w:eastAsia="方正小标宋简体" w:cs="方正小标宋简体"/>
          <w:bCs/>
          <w:spacing w:val="15"/>
          <w:sz w:val="44"/>
          <w:szCs w:val="44"/>
        </w:rPr>
        <w:t>丽水市殡仪馆</w:t>
      </w:r>
      <w:r>
        <w:rPr>
          <w:rFonts w:hint="eastAsia" w:ascii="方正小标宋简体" w:hAnsi="方正小标宋简体" w:eastAsia="方正小标宋简体" w:cs="方正小标宋简体"/>
          <w:bCs/>
          <w:spacing w:val="15"/>
          <w:sz w:val="44"/>
          <w:szCs w:val="44"/>
          <w:lang w:eastAsia="zh-CN"/>
        </w:rPr>
        <w:t>2025年</w:t>
      </w:r>
      <w:r>
        <w:rPr>
          <w:rFonts w:hint="eastAsia" w:ascii="方正小标宋简体" w:hAnsi="方正小标宋简体" w:eastAsia="方正小标宋简体" w:cs="方正小标宋简体"/>
          <w:bCs/>
          <w:spacing w:val="15"/>
          <w:sz w:val="44"/>
          <w:szCs w:val="44"/>
        </w:rPr>
        <w:t>单位预算</w:t>
      </w:r>
    </w:p>
    <w:p>
      <w:pPr>
        <w:spacing w:line="560" w:lineRule="exact"/>
        <w:ind w:firstLine="590" w:firstLineChars="196"/>
        <w:rPr>
          <w:rStyle w:val="11"/>
          <w:color w:val="000000"/>
          <w:sz w:val="30"/>
          <w:szCs w:val="30"/>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p>
    <w:p>
      <w:pPr>
        <w:spacing w:line="520" w:lineRule="exact"/>
        <w:rPr>
          <w:rStyle w:val="11"/>
          <w:rFonts w:ascii="黑体" w:eastAsia="黑体"/>
          <w:b w:val="0"/>
          <w:color w:val="000000"/>
          <w:sz w:val="32"/>
          <w:szCs w:val="32"/>
        </w:rPr>
      </w:pPr>
    </w:p>
    <w:p>
      <w:pPr>
        <w:spacing w:line="520" w:lineRule="exact"/>
        <w:ind w:firstLine="627" w:firstLineChars="196"/>
        <w:jc w:val="center"/>
        <w:rPr>
          <w:rStyle w:val="11"/>
          <w:rFonts w:ascii="黑体" w:eastAsia="黑体"/>
          <w:b w:val="0"/>
          <w:color w:val="000000"/>
          <w:sz w:val="32"/>
          <w:szCs w:val="32"/>
        </w:rPr>
      </w:pPr>
      <w:r>
        <w:rPr>
          <w:rStyle w:val="11"/>
          <w:rFonts w:hint="eastAsia" w:ascii="黑体" w:eastAsia="黑体"/>
          <w:b w:val="0"/>
          <w:color w:val="000000"/>
          <w:sz w:val="32"/>
          <w:szCs w:val="32"/>
        </w:rPr>
        <w:t>目录</w:t>
      </w:r>
    </w:p>
    <w:p>
      <w:pPr>
        <w:spacing w:line="520" w:lineRule="exact"/>
        <w:rPr>
          <w:rFonts w:eastAsia="黑体"/>
          <w:sz w:val="32"/>
        </w:rPr>
      </w:pPr>
      <w:r>
        <w:rPr>
          <w:rFonts w:hint="eastAsia" w:ascii="黑体" w:eastAsia="黑体"/>
          <w:color w:val="000000"/>
          <w:sz w:val="32"/>
          <w:highlight w:val="white"/>
        </w:rPr>
        <w:t>一、单位</w:t>
      </w:r>
      <w:r>
        <w:rPr>
          <w:rStyle w:val="11"/>
          <w:rFonts w:hint="eastAsia" w:ascii="黑体" w:eastAsia="黑体"/>
          <w:b w:val="0"/>
          <w:color w:val="000000"/>
          <w:sz w:val="32"/>
          <w:szCs w:val="32"/>
        </w:rPr>
        <w:t>概况</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rPr>
          <w:rStyle w:val="11"/>
          <w:rFonts w:ascii="黑体" w:eastAsia="黑体"/>
          <w:b w:val="0"/>
          <w:color w:val="000000"/>
          <w:sz w:val="32"/>
          <w:szCs w:val="32"/>
        </w:rPr>
      </w:pPr>
      <w:r>
        <w:rPr>
          <w:rStyle w:val="11"/>
          <w:rFonts w:hint="eastAsia" w:ascii="黑体" w:eastAsia="黑体"/>
          <w:b w:val="0"/>
          <w:color w:val="000000"/>
          <w:sz w:val="32"/>
          <w:szCs w:val="32"/>
        </w:rPr>
        <w:t>二、</w:t>
      </w:r>
      <w:r>
        <w:rPr>
          <w:rStyle w:val="11"/>
          <w:rFonts w:hint="eastAsia" w:ascii="黑体" w:eastAsia="黑体"/>
          <w:b w:val="0"/>
          <w:color w:val="000000"/>
          <w:sz w:val="32"/>
          <w:szCs w:val="32"/>
          <w:lang w:eastAsia="zh-CN"/>
        </w:rPr>
        <w:t>2025年</w:t>
      </w:r>
      <w:r>
        <w:rPr>
          <w:rStyle w:val="11"/>
          <w:rFonts w:hint="eastAsia" w:ascii="黑体" w:eastAsia="黑体"/>
          <w:b w:val="0"/>
          <w:color w:val="000000"/>
          <w:sz w:val="32"/>
          <w:szCs w:val="32"/>
        </w:rPr>
        <w:t>丽水市殡仪馆单位预算安排情况说明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收入预算情况说明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支出预算情况说明</w:t>
      </w:r>
      <w:r>
        <w:rPr>
          <w:rFonts w:hint="eastAsia" w:ascii="楷体_GB2312" w:hAnsi="楷体_GB2312" w:eastAsia="楷体_GB2312" w:cs="楷体_GB2312"/>
          <w:bCs/>
          <w:sz w:val="32"/>
          <w:szCs w:val="32"/>
        </w:rPr>
        <w:br w:type="textWrapping"/>
      </w:r>
      <w:r>
        <w:rPr>
          <w:rFonts w:hint="eastAsia" w:ascii="楷体_GB2312" w:hAnsi="楷体_GB2312" w:eastAsia="楷体_GB2312" w:cs="楷体_GB2312"/>
          <w:bCs/>
          <w:sz w:val="32"/>
          <w:szCs w:val="32"/>
        </w:rPr>
        <w:t>（四）关于丽水市殡仪馆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财政拨款收支预算情况的总体说明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一般公共预算拨款情况说明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一般公共预算基本支出情况说明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政府性基金预算支出情况说明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国有资本经营预算支出情况说明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（九）关于丽水市殡仪馆</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一般公共预算“三公”经费预算情况说明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5"/>
        <w:spacing w:line="520" w:lineRule="exact"/>
        <w:rPr>
          <w:rStyle w:val="11"/>
          <w:rFonts w:ascii="黑体" w:hAnsi="Calibri" w:eastAsia="黑体"/>
          <w:b w:val="0"/>
          <w:color w:val="000000"/>
          <w:kern w:val="2"/>
          <w:sz w:val="32"/>
          <w:szCs w:val="32"/>
        </w:rPr>
      </w:pPr>
      <w:r>
        <w:rPr>
          <w:rStyle w:val="11"/>
          <w:rFonts w:hint="eastAsia" w:ascii="黑体" w:hAnsi="Calibri" w:eastAsia="黑体"/>
          <w:b w:val="0"/>
          <w:color w:val="000000"/>
          <w:kern w:val="2"/>
          <w:sz w:val="32"/>
          <w:szCs w:val="32"/>
        </w:rPr>
        <w:t>三、名词解释</w:t>
      </w:r>
    </w:p>
    <w:p>
      <w:pPr>
        <w:spacing w:line="520" w:lineRule="exact"/>
        <w:rPr>
          <w:rStyle w:val="11"/>
          <w:rFonts w:ascii="黑体" w:eastAsia="黑体"/>
          <w:b w:val="0"/>
          <w:color w:val="000000"/>
          <w:sz w:val="32"/>
          <w:szCs w:val="32"/>
        </w:rPr>
      </w:pPr>
      <w:r>
        <w:rPr>
          <w:rStyle w:val="11"/>
          <w:rFonts w:hint="eastAsia" w:ascii="黑体" w:eastAsia="黑体"/>
          <w:b w:val="0"/>
          <w:color w:val="000000"/>
          <w:sz w:val="32"/>
          <w:szCs w:val="32"/>
        </w:rPr>
        <w:t>四、</w:t>
      </w:r>
      <w:r>
        <w:rPr>
          <w:rStyle w:val="11"/>
          <w:rFonts w:hint="eastAsia" w:ascii="黑体" w:eastAsia="黑体"/>
          <w:b w:val="0"/>
          <w:color w:val="000000"/>
          <w:sz w:val="32"/>
          <w:szCs w:val="32"/>
          <w:lang w:eastAsia="zh-CN"/>
        </w:rPr>
        <w:t>2025年</w:t>
      </w:r>
      <w:r>
        <w:rPr>
          <w:rStyle w:val="11"/>
          <w:rFonts w:hint="eastAsia" w:ascii="黑体" w:eastAsia="黑体"/>
          <w:b w:val="0"/>
          <w:color w:val="000000"/>
          <w:sz w:val="32"/>
          <w:szCs w:val="32"/>
        </w:rPr>
        <w:t>丽水市殡仪馆单位预算表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单位收入预算总表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单位支出预算总表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（四）</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单位财政拨款收支预算总表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单位一般公共预算基本支出表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单位一般公共预算“三公”经费支出表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单位政府性基金预算支出表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单位国有资本经营预算支出表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单位项目支出预算表</w:t>
      </w:r>
    </w:p>
    <w:p>
      <w:pPr>
        <w:autoSpaceDE w:val="0"/>
        <w:autoSpaceDN w:val="0"/>
        <w:adjustRightInd w:val="0"/>
        <w:ind w:left="420" w:leftChars="200"/>
        <w:jc w:val="left"/>
        <w:rPr>
          <w:rStyle w:val="11"/>
          <w:rFonts w:ascii="楷体_GB2312" w:hAnsi="楷体_GB2312" w:eastAsia="楷体_GB2312" w:cs="楷体_GB2312"/>
          <w:b w:val="0"/>
          <w:sz w:val="32"/>
          <w:szCs w:val="32"/>
        </w:rPr>
      </w:pPr>
      <w:r>
        <w:rPr>
          <w:rFonts w:hint="eastAsia" w:ascii="楷体_GB2312" w:hAnsi="楷体_GB2312" w:eastAsia="楷体_GB2312" w:cs="楷体_GB2312"/>
          <w:bCs/>
          <w:sz w:val="32"/>
          <w:szCs w:val="32"/>
        </w:rPr>
        <w:t>（十一）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单位项目支出绩效表</w:t>
      </w: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rPr>
          <w:rStyle w:val="11"/>
          <w:rFonts w:hint="default" w:ascii="黑体" w:eastAsia="黑体"/>
          <w:b w:val="0"/>
          <w:sz w:val="32"/>
          <w:szCs w:val="32"/>
        </w:rPr>
      </w:pPr>
    </w:p>
    <w:p>
      <w:pPr>
        <w:pStyle w:val="2"/>
        <w:tabs>
          <w:tab w:val="left" w:pos="2608"/>
        </w:tabs>
        <w:rPr>
          <w:rStyle w:val="11"/>
          <w:rFonts w:hint="default" w:ascii="黑体" w:eastAsia="黑体"/>
          <w:b w:val="0"/>
          <w:sz w:val="32"/>
          <w:szCs w:val="32"/>
        </w:rPr>
      </w:pPr>
      <w:r>
        <w:rPr>
          <w:rStyle w:val="11"/>
          <w:rFonts w:ascii="黑体" w:eastAsia="黑体"/>
          <w:b w:val="0"/>
          <w:sz w:val="32"/>
          <w:szCs w:val="32"/>
        </w:rPr>
        <w:tab/>
      </w:r>
    </w:p>
    <w:p>
      <w:pPr>
        <w:rPr>
          <w:rStyle w:val="11"/>
          <w:rFonts w:hint="eastAsia" w:ascii="黑体" w:eastAsia="黑体"/>
          <w:b w:val="0"/>
          <w:color w:val="000000"/>
          <w:sz w:val="32"/>
          <w:szCs w:val="32"/>
        </w:rPr>
      </w:pPr>
      <w:r>
        <w:rPr>
          <w:rStyle w:val="11"/>
          <w:rFonts w:hint="eastAsia" w:ascii="黑体" w:eastAsia="黑体"/>
          <w:b w:val="0"/>
          <w:color w:val="000000"/>
          <w:sz w:val="32"/>
          <w:szCs w:val="32"/>
        </w:rPr>
        <w:br w:type="page"/>
      </w:r>
    </w:p>
    <w:p>
      <w:pPr>
        <w:spacing w:line="520" w:lineRule="exact"/>
        <w:ind w:firstLine="627" w:firstLineChars="196"/>
        <w:rPr>
          <w:rStyle w:val="11"/>
          <w:rFonts w:ascii="黑体" w:eastAsia="黑体"/>
          <w:b w:val="0"/>
          <w:color w:val="000000"/>
          <w:sz w:val="32"/>
          <w:szCs w:val="32"/>
        </w:rPr>
      </w:pPr>
      <w:r>
        <w:rPr>
          <w:rStyle w:val="11"/>
          <w:rFonts w:hint="eastAsia" w:ascii="黑体" w:eastAsia="黑体"/>
          <w:b w:val="0"/>
          <w:color w:val="000000"/>
          <w:sz w:val="32"/>
          <w:szCs w:val="32"/>
        </w:rPr>
        <w:t>一、单位概况</w:t>
      </w:r>
    </w:p>
    <w:p>
      <w:pPr>
        <w:spacing w:line="560" w:lineRule="exact"/>
        <w:ind w:firstLine="630" w:firstLineChars="196"/>
        <w:rPr>
          <w:rFonts w:ascii="楷体_GB2312" w:hAnsi="楷体_GB2312" w:eastAsia="楷体_GB2312" w:cs="楷体_GB2312"/>
          <w:b/>
          <w:sz w:val="32"/>
          <w:szCs w:val="32"/>
        </w:rPr>
      </w:pPr>
      <w:r>
        <w:rPr>
          <w:rFonts w:hint="eastAsia" w:ascii="楷体_GB2312" w:hAnsi="楷体_GB2312" w:eastAsia="楷体_GB2312" w:cs="楷体_GB2312"/>
          <w:b/>
          <w:sz w:val="32"/>
          <w:szCs w:val="32"/>
        </w:rPr>
        <w:t>（一）主要职能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第一条 根据党中央和省委、市委关于深化事业单位改革的有关精神制定被本规定。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 第二条 丽水市殡仪馆为丽水市民政局所属的公益二类事业单位，挂圆满堂牌子。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第三条 市殡仪馆贯彻落实党中央和省委、市委方针政策和决策部署，在履行职责过程中，坚持和加强党的全面领导。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lang w:eastAsia="zh-CN"/>
        </w:rPr>
        <w:t>主</w:t>
      </w:r>
      <w:r>
        <w:rPr>
          <w:rFonts w:hint="eastAsia" w:ascii="仿宋_GB2312" w:eastAsia="仿宋_GB2312"/>
          <w:color w:val="000000"/>
          <w:sz w:val="32"/>
          <w:szCs w:val="32"/>
        </w:rPr>
        <w:t>要职责是：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（一）负责遗体接运、存放、入库、火化和骨灰寄存、骨灰跟踪管理等基本殡葬服务，以及殡仪业务中的安全管理等工作。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（二）负责对个性化殡仪服务公司的业务监管和行风监督及对全市殡仪馆业务的指导。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（三）完成市民政局交办的其他任务。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 第四条 市殡仪馆事业编制 10 名。设馆长 1 名，副馆长 1名（馆长最高不超过七级职员）。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第五条市殡仪馆所需经费由市财政适当补助。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第六条市殡仪馆党组织要认真贯彻党的路线方针政策，紧密围绕单位中心工作，全面推进党的政治建设思想建设、组织建设、作风建设、纪律建设，始终把制度建设贯穿其中。深入推进反腐败斗争，不断提高党的建设质量，发扬党内民主，加强党内监督，坚持党要管党、从严治党。充分发挥党的思想政治优势、组织优势和密切联系群众的优势，服务人才成长，促进事业发展。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 xml:space="preserve"> 第七条市殡仪馆党的建设、干部人事等由市民政局统一管理，市殡仪馆负责业务运行等事宜，不得承担行政职能，不得偏离公益目标从事经营活动。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第八条本规定由市委机构编制委员会办公室负责解释，其调整由市委机构编制委员会办公室按规定程序办理。</w:t>
      </w:r>
    </w:p>
    <w:p>
      <w:pPr>
        <w:spacing w:line="560" w:lineRule="exact"/>
        <w:ind w:firstLine="630" w:firstLineChars="196"/>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（二）部门（单位）机构设置情况</w:t>
      </w:r>
    </w:p>
    <w:p>
      <w:pPr>
        <w:spacing w:line="560" w:lineRule="exact"/>
        <w:ind w:firstLine="627" w:firstLineChars="196"/>
        <w:rPr>
          <w:rFonts w:hint="eastAsia" w:ascii="仿宋_GB2312" w:eastAsia="仿宋_GB2312"/>
          <w:bCs/>
          <w:sz w:val="32"/>
          <w:szCs w:val="32"/>
        </w:rPr>
      </w:pPr>
      <w:r>
        <w:rPr>
          <w:rFonts w:hint="eastAsia" w:ascii="仿宋_GB2312" w:eastAsia="仿宋_GB2312"/>
          <w:bCs/>
          <w:sz w:val="32"/>
          <w:szCs w:val="32"/>
        </w:rPr>
        <w:t>从预算单位构成看，殡仪馆预算包括：办公室（行政审批处），一科（火化车间),二科（殡仪车接运）的预算。</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0" w:firstLineChars="0"/>
        <w:textAlignment w:val="auto"/>
        <w:outlineLvl w:val="9"/>
        <w:rPr>
          <w:rFonts w:hint="eastAsia" w:ascii="楷体_GB2312" w:hAnsi="楷体_GB2312" w:eastAsia="楷体_GB2312" w:cs="楷体_GB2312"/>
          <w:b w:val="0"/>
          <w:bCs w:val="0"/>
          <w:color w:val="000000"/>
          <w:sz w:val="32"/>
          <w:szCs w:val="32"/>
          <w:highlight w:val="none"/>
        </w:rPr>
      </w:pPr>
      <w:r>
        <w:rPr>
          <w:rStyle w:val="11"/>
          <w:rFonts w:hint="eastAsia" w:ascii="黑体" w:eastAsia="黑体"/>
          <w:b w:val="0"/>
          <w:color w:val="000000"/>
          <w:sz w:val="32"/>
          <w:szCs w:val="32"/>
        </w:rPr>
        <w:t>二、</w:t>
      </w:r>
      <w:r>
        <w:rPr>
          <w:rStyle w:val="11"/>
          <w:rFonts w:hint="eastAsia" w:ascii="黑体" w:eastAsia="黑体"/>
          <w:b w:val="0"/>
          <w:color w:val="000000"/>
          <w:sz w:val="32"/>
          <w:szCs w:val="32"/>
          <w:lang w:eastAsia="zh-CN"/>
        </w:rPr>
        <w:t>2025年</w:t>
      </w:r>
      <w:r>
        <w:rPr>
          <w:rStyle w:val="11"/>
          <w:rFonts w:hint="eastAsia" w:ascii="黑体" w:eastAsia="黑体"/>
          <w:b w:val="0"/>
          <w:color w:val="000000"/>
          <w:sz w:val="32"/>
          <w:szCs w:val="32"/>
        </w:rPr>
        <w:t>丽水市殡仪馆单位预算安排情况说明</w:t>
      </w:r>
      <w:r>
        <w:rPr>
          <w:rFonts w:hint="eastAsia"/>
          <w:color w:val="000000"/>
          <w:sz w:val="32"/>
          <w:szCs w:val="32"/>
        </w:rPr>
        <w:br w:type="textWrapping"/>
      </w:r>
      <w:r>
        <w:rPr>
          <w:rFonts w:hint="eastAsia" w:ascii="仿宋_GB2312" w:eastAsia="仿宋_GB2312"/>
          <w:b/>
          <w:bCs/>
          <w:color w:val="000000"/>
          <w:sz w:val="32"/>
          <w:szCs w:val="32"/>
        </w:rPr>
        <w:t>　　</w:t>
      </w:r>
      <w:r>
        <w:rPr>
          <w:rFonts w:hint="eastAsia" w:ascii="楷体_GB2312" w:hAnsi="楷体_GB2312" w:eastAsia="楷体_GB2312" w:cs="楷体_GB2312"/>
          <w:b w:val="0"/>
          <w:bCs w:val="0"/>
          <w:color w:val="000000"/>
          <w:sz w:val="32"/>
          <w:szCs w:val="32"/>
          <w:highlight w:val="none"/>
        </w:rPr>
        <w:t>（一）</w:t>
      </w:r>
      <w:r>
        <w:rPr>
          <w:rFonts w:hint="eastAsia" w:ascii="楷体_GB2312" w:hAnsi="楷体_GB2312" w:eastAsia="楷体_GB2312" w:cs="楷体_GB2312"/>
          <w:b w:val="0"/>
          <w:bCs w:val="0"/>
          <w:color w:val="000000"/>
          <w:sz w:val="32"/>
          <w:szCs w:val="32"/>
          <w:highlight w:val="none"/>
          <w:lang w:eastAsia="zh-CN"/>
        </w:rPr>
        <w:t>关于</w:t>
      </w:r>
      <w:r>
        <w:rPr>
          <w:rStyle w:val="11"/>
          <w:rFonts w:hint="eastAsia" w:ascii="楷体_GB2312" w:hAnsi="楷体_GB2312" w:eastAsia="楷体_GB2312" w:cs="楷体_GB2312"/>
          <w:b w:val="0"/>
          <w:bCs w:val="0"/>
          <w:color w:val="000000"/>
          <w:sz w:val="32"/>
          <w:szCs w:val="32"/>
          <w:highlight w:val="none"/>
          <w:lang w:eastAsia="zh-CN"/>
        </w:rPr>
        <w:t>丽水市殡仪馆</w:t>
      </w:r>
      <w:r>
        <w:rPr>
          <w:rStyle w:val="11"/>
          <w:rFonts w:hint="eastAsia" w:ascii="楷体_GB2312" w:hAnsi="楷体_GB2312" w:eastAsia="楷体_GB2312" w:cs="楷体_GB2312"/>
          <w:b w:val="0"/>
          <w:bCs w:val="0"/>
          <w:color w:val="000000"/>
          <w:sz w:val="32"/>
          <w:szCs w:val="32"/>
          <w:highlight w:val="none"/>
          <w:lang w:val="en-US" w:eastAsia="zh-CN"/>
        </w:rPr>
        <w:t>2025</w:t>
      </w:r>
      <w:r>
        <w:rPr>
          <w:rStyle w:val="11"/>
          <w:rFonts w:hint="eastAsia" w:ascii="楷体_GB2312" w:hAnsi="楷体_GB2312" w:eastAsia="楷体_GB2312" w:cs="楷体_GB2312"/>
          <w:b w:val="0"/>
          <w:bCs w:val="0"/>
          <w:color w:val="000000"/>
          <w:sz w:val="32"/>
          <w:szCs w:val="32"/>
          <w:highlight w:val="none"/>
        </w:rPr>
        <w:t>年</w:t>
      </w:r>
      <w:r>
        <w:rPr>
          <w:rStyle w:val="11"/>
          <w:rFonts w:hint="eastAsia" w:ascii="楷体_GB2312" w:hAnsi="楷体_GB2312" w:eastAsia="楷体_GB2312" w:cs="楷体_GB2312"/>
          <w:b w:val="0"/>
          <w:bCs w:val="0"/>
          <w:color w:val="000000"/>
          <w:sz w:val="32"/>
          <w:szCs w:val="32"/>
          <w:highlight w:val="none"/>
          <w:lang w:eastAsia="zh-CN"/>
        </w:rPr>
        <w:t>收支预算情况的总体说明</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right="0" w:rightChars="0" w:firstLine="321" w:firstLineChars="100"/>
        <w:jc w:val="both"/>
        <w:textAlignment w:val="auto"/>
        <w:outlineLvl w:val="9"/>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highlight w:val="none"/>
          <w:lang w:val="en-US" w:eastAsia="zh-CN"/>
        </w:rPr>
        <w:t xml:space="preserve"> </w:t>
      </w:r>
      <w:bookmarkStart w:id="0" w:name="OLE_LINK2"/>
      <w:r>
        <w:rPr>
          <w:rFonts w:hint="eastAsia" w:ascii="仿宋_GB2312" w:eastAsia="仿宋_GB2312"/>
          <w:bCs/>
          <w:color w:val="000000"/>
          <w:sz w:val="32"/>
          <w:szCs w:val="32"/>
        </w:rPr>
        <w:t>按照</w:t>
      </w:r>
      <w:r>
        <w:rPr>
          <w:rFonts w:hint="eastAsia" w:ascii="仿宋_GB2312" w:eastAsia="仿宋_GB2312"/>
          <w:bCs/>
          <w:sz w:val="32"/>
          <w:szCs w:val="32"/>
        </w:rPr>
        <w:t>综合预算的原则，殡仪馆</w:t>
      </w:r>
      <w:r>
        <w:rPr>
          <w:rFonts w:hint="eastAsia" w:ascii="仿宋_GB2312" w:eastAsia="仿宋_GB2312"/>
          <w:color w:val="000000"/>
          <w:sz w:val="32"/>
          <w:szCs w:val="32"/>
        </w:rPr>
        <w:t>所有收入和支出均纳入单位预算管理。收入包括：一般公共预算拨款收入、政府性基金预算收入、事业单位经营收入；支出包括：社会保障和就业支出、</w:t>
      </w:r>
      <w:r>
        <w:rPr>
          <w:rFonts w:hint="eastAsia" w:ascii="仿宋_GB2312" w:eastAsia="仿宋_GB2312"/>
          <w:color w:val="000000"/>
          <w:sz w:val="32"/>
          <w:szCs w:val="32"/>
          <w:lang w:val="en-US" w:eastAsia="zh-CN"/>
        </w:rPr>
        <w:t>其他</w:t>
      </w:r>
      <w:r>
        <w:rPr>
          <w:rFonts w:hint="eastAsia" w:ascii="仿宋_GB2312" w:eastAsia="仿宋_GB2312"/>
          <w:color w:val="000000"/>
          <w:sz w:val="32"/>
          <w:szCs w:val="32"/>
        </w:rPr>
        <w:t>支出。</w:t>
      </w:r>
      <w:r>
        <w:rPr>
          <w:rFonts w:hint="eastAsia" w:ascii="仿宋_GB2312" w:eastAsia="仿宋_GB2312"/>
          <w:bCs/>
          <w:sz w:val="32"/>
          <w:szCs w:val="32"/>
        </w:rPr>
        <w:t>殡仪馆</w:t>
      </w:r>
      <w:r>
        <w:rPr>
          <w:rFonts w:hint="eastAsia" w:ascii="仿宋_GB2312" w:eastAsia="仿宋_GB2312"/>
          <w:color w:val="000000"/>
          <w:sz w:val="32"/>
          <w:szCs w:val="32"/>
          <w:lang w:eastAsia="zh-CN"/>
        </w:rPr>
        <w:t>202</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年收支总预算</w:t>
      </w:r>
      <w:r>
        <w:rPr>
          <w:rFonts w:hint="eastAsia" w:ascii="仿宋_GB2312" w:eastAsia="仿宋_GB2312"/>
          <w:color w:val="000000"/>
          <w:sz w:val="32"/>
          <w:szCs w:val="32"/>
          <w:lang w:val="en-US" w:eastAsia="zh-CN"/>
        </w:rPr>
        <w:t>1075</w:t>
      </w:r>
      <w:r>
        <w:rPr>
          <w:rFonts w:hint="eastAsia" w:ascii="仿宋_GB2312" w:eastAsia="仿宋_GB2312"/>
          <w:color w:val="000000"/>
          <w:sz w:val="32"/>
          <w:szCs w:val="32"/>
        </w:rPr>
        <w:t>万元。</w:t>
      </w:r>
      <w:bookmarkEnd w:id="0"/>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收入预算情况说明</w:t>
      </w:r>
    </w:p>
    <w:p>
      <w:pPr>
        <w:spacing w:line="520" w:lineRule="exact"/>
        <w:ind w:firstLine="642"/>
        <w:rPr>
          <w:rFonts w:hint="default" w:ascii="仿宋_GB2312" w:eastAsia="仿宋_GB2312"/>
          <w:color w:val="000000"/>
          <w:sz w:val="32"/>
          <w:szCs w:val="32"/>
          <w:highlight w:val="none"/>
          <w:lang w:val="en-US"/>
        </w:rPr>
      </w:pPr>
      <w:r>
        <w:rPr>
          <w:rFonts w:hint="eastAsia" w:ascii="仿宋_GB2312" w:eastAsia="仿宋_GB2312"/>
          <w:bCs/>
          <w:sz w:val="32"/>
          <w:szCs w:val="32"/>
        </w:rPr>
        <w:t>殡仪馆</w:t>
      </w:r>
      <w:r>
        <w:rPr>
          <w:rFonts w:hint="eastAsia" w:ascii="仿宋_GB2312" w:eastAsia="仿宋_GB2312"/>
          <w:color w:val="000000"/>
          <w:sz w:val="32"/>
          <w:szCs w:val="32"/>
          <w:lang w:eastAsia="zh-CN"/>
        </w:rPr>
        <w:t>202</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年收入预算</w:t>
      </w:r>
      <w:r>
        <w:rPr>
          <w:rFonts w:hint="eastAsia" w:ascii="仿宋_GB2312" w:eastAsia="仿宋_GB2312"/>
          <w:color w:val="000000"/>
          <w:sz w:val="32"/>
          <w:szCs w:val="32"/>
          <w:lang w:val="en-US" w:eastAsia="zh-CN"/>
        </w:rPr>
        <w:t>1075</w:t>
      </w:r>
      <w:r>
        <w:rPr>
          <w:rFonts w:hint="eastAsia" w:ascii="仿宋_GB2312" w:eastAsia="仿宋_GB2312"/>
          <w:color w:val="000000"/>
          <w:sz w:val="32"/>
          <w:szCs w:val="32"/>
        </w:rPr>
        <w:t>万元，</w:t>
      </w:r>
      <w:bookmarkStart w:id="1" w:name="OLE_LINK1"/>
      <w:r>
        <w:rPr>
          <w:rFonts w:hint="eastAsia" w:ascii="仿宋_GB2312" w:hAnsi="仿宋_GB2312" w:eastAsia="仿宋_GB2312" w:cs="仿宋_GB2312"/>
          <w:color w:val="auto"/>
          <w:sz w:val="32"/>
          <w:szCs w:val="32"/>
          <w:highlight w:val="none"/>
          <w:lang w:eastAsia="zh-CN"/>
        </w:rPr>
        <w:t>比上年支出执行数增</w:t>
      </w:r>
      <w:r>
        <w:rPr>
          <w:rFonts w:hint="eastAsia" w:ascii="仿宋_GB2312" w:hAnsi="仿宋_GB2312" w:eastAsia="仿宋_GB2312" w:cs="仿宋_GB2312"/>
          <w:color w:val="auto"/>
          <w:sz w:val="32"/>
          <w:szCs w:val="32"/>
          <w:highlight w:val="none"/>
          <w:lang w:val="en-US" w:eastAsia="zh-CN"/>
        </w:rPr>
        <w:t>加30万元，增长了2.87%，主要是应殡仪服务及群众的需求，增加了两名火化及应对社保费、公积金的增长。</w:t>
      </w:r>
      <w:bookmarkEnd w:id="1"/>
      <w:r>
        <w:rPr>
          <w:rFonts w:hint="eastAsia" w:ascii="仿宋_GB2312" w:eastAsia="仿宋_GB2312"/>
          <w:color w:val="000000"/>
          <w:sz w:val="32"/>
          <w:szCs w:val="32"/>
        </w:rPr>
        <w:t>其中：一般公共预算拨款收入</w:t>
      </w:r>
      <w:r>
        <w:rPr>
          <w:rFonts w:ascii="仿宋_GB2312" w:eastAsia="仿宋_GB2312"/>
          <w:color w:val="000000"/>
          <w:sz w:val="32"/>
          <w:szCs w:val="32"/>
        </w:rPr>
        <w:t>498.00</w:t>
      </w:r>
      <w:r>
        <w:rPr>
          <w:rFonts w:hint="eastAsia" w:ascii="仿宋_GB2312" w:eastAsia="仿宋_GB2312"/>
          <w:color w:val="000000"/>
          <w:sz w:val="32"/>
          <w:szCs w:val="32"/>
        </w:rPr>
        <w:t>万元（上年结转0.00万元），占46.3%；政府性基金收入</w:t>
      </w:r>
      <w:r>
        <w:rPr>
          <w:rFonts w:ascii="仿宋_GB2312" w:eastAsia="仿宋_GB2312"/>
          <w:color w:val="000000"/>
          <w:sz w:val="32"/>
          <w:szCs w:val="32"/>
        </w:rPr>
        <w:t>427.00</w:t>
      </w:r>
      <w:r>
        <w:rPr>
          <w:rFonts w:hint="eastAsia" w:ascii="仿宋_GB2312" w:eastAsia="仿宋_GB2312"/>
          <w:color w:val="000000"/>
          <w:sz w:val="32"/>
          <w:szCs w:val="32"/>
        </w:rPr>
        <w:t>万元（上年结转0.00万元），占39.7%；事业收入120.00万元，占11.2%；事业单位经营收入30.00万元，占2.8%。</w:t>
      </w:r>
      <w:r>
        <w:rPr>
          <w:rFonts w:hint="eastAsia" w:ascii="仿宋_GB2312" w:eastAsia="仿宋_GB2312"/>
          <w:color w:val="000000"/>
          <w:sz w:val="32"/>
          <w:szCs w:val="32"/>
        </w:rPr>
        <w:br w:type="textWrapping"/>
      </w:r>
      <w:r>
        <w:rPr>
          <w:rFonts w:hint="eastAsia" w:ascii="楷体_GB2312" w:hAnsi="楷体_GB2312" w:eastAsia="楷体_GB2312" w:cs="楷体_GB2312"/>
          <w:bCs/>
          <w:color w:val="000000"/>
          <w:sz w:val="32"/>
          <w:szCs w:val="32"/>
        </w:rPr>
        <w:t>　　（三）关于丽水市殡仪馆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支出预算情况说明</w:t>
      </w:r>
      <w:r>
        <w:rPr>
          <w:rFonts w:hint="eastAsia" w:ascii="楷体_GB2312" w:hAnsi="楷体_GB2312" w:eastAsia="楷体_GB2312" w:cs="楷体_GB2312"/>
          <w:bCs/>
          <w:color w:val="000000"/>
          <w:sz w:val="32"/>
          <w:szCs w:val="32"/>
        </w:rPr>
        <w:br w:type="textWrapping"/>
      </w:r>
      <w:r>
        <w:rPr>
          <w:rFonts w:hint="eastAsia" w:ascii="仿宋_GB2312" w:eastAsia="仿宋_GB2312"/>
          <w:color w:val="000000"/>
          <w:sz w:val="32"/>
          <w:szCs w:val="32"/>
        </w:rPr>
        <w:t>　</w:t>
      </w:r>
      <w:r>
        <w:rPr>
          <w:rFonts w:hint="eastAsia" w:ascii="仿宋_GB2312" w:hAnsi="仿宋_GB2312" w:eastAsia="仿宋_GB2312" w:cs="仿宋_GB2312"/>
          <w:color w:val="000000"/>
          <w:sz w:val="32"/>
          <w:szCs w:val="32"/>
          <w:highlight w:val="none"/>
        </w:rPr>
        <w:t>　丽水市殡仪馆</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支出预算1075.00万元，</w:t>
      </w:r>
      <w:r>
        <w:rPr>
          <w:rFonts w:hint="eastAsia" w:ascii="仿宋_GB2312" w:hAnsi="仿宋_GB2312" w:eastAsia="仿宋_GB2312" w:cs="仿宋_GB2312"/>
          <w:color w:val="auto"/>
          <w:sz w:val="32"/>
          <w:szCs w:val="32"/>
          <w:highlight w:val="none"/>
          <w:lang w:eastAsia="zh-CN"/>
        </w:rPr>
        <w:t>比上年支出执行数增</w:t>
      </w:r>
      <w:r>
        <w:rPr>
          <w:rFonts w:hint="eastAsia" w:ascii="仿宋_GB2312" w:hAnsi="仿宋_GB2312" w:eastAsia="仿宋_GB2312" w:cs="仿宋_GB2312"/>
          <w:color w:val="auto"/>
          <w:sz w:val="32"/>
          <w:szCs w:val="32"/>
          <w:highlight w:val="none"/>
          <w:lang w:val="en-US" w:eastAsia="zh-CN"/>
        </w:rPr>
        <w:t>加30万元，增长了2.87%，主要是应殡仪服务及群众的需求，增加了两名火化及应对社保费、公积金的增长，及提升殡仪馆的保障能力建设。</w:t>
      </w:r>
    </w:p>
    <w:p>
      <w:pPr>
        <w:spacing w:line="520" w:lineRule="exact"/>
        <w:ind w:firstLine="630"/>
        <w:rPr>
          <w:rFonts w:ascii="仿宋_GB2312" w:eastAsia="仿宋_GB2312"/>
          <w:color w:val="000000"/>
          <w:sz w:val="32"/>
          <w:szCs w:val="32"/>
        </w:rPr>
      </w:pPr>
      <w:r>
        <w:rPr>
          <w:rFonts w:hint="eastAsia" w:ascii="仿宋_GB2312" w:eastAsia="仿宋_GB2312"/>
          <w:color w:val="000000"/>
          <w:sz w:val="32"/>
          <w:szCs w:val="32"/>
        </w:rPr>
        <w:t>1.按支出功能分类，包括社会保障和就业支出648.00万元、其他支出427.00万元。</w:t>
      </w:r>
    </w:p>
    <w:p>
      <w:pPr>
        <w:spacing w:line="520" w:lineRule="exact"/>
        <w:ind w:firstLine="642"/>
        <w:rPr>
          <w:rFonts w:hint="eastAsia" w:ascii="仿宋_GB2312" w:eastAsia="仿宋_GB2312"/>
          <w:color w:val="000000"/>
          <w:sz w:val="32"/>
          <w:szCs w:val="32"/>
          <w:lang w:eastAsia="zh-CN"/>
        </w:rPr>
      </w:pPr>
      <w:r>
        <w:rPr>
          <w:rFonts w:hint="eastAsia" w:ascii="仿宋_GB2312" w:eastAsia="仿宋_GB2312"/>
          <w:color w:val="000000"/>
          <w:sz w:val="32"/>
          <w:szCs w:val="32"/>
        </w:rPr>
        <w:t>2.按支出用途分类，包括人员支出370.00万元，占34.4%；项目支出675.00万元，占62.8%；事业单位经营支出30.00万元，占2.8%</w:t>
      </w:r>
      <w:r>
        <w:rPr>
          <w:rFonts w:hint="eastAsia" w:ascii="仿宋_GB2312" w:eastAsia="仿宋_GB2312"/>
          <w:color w:val="000000"/>
          <w:sz w:val="32"/>
          <w:szCs w:val="32"/>
          <w:lang w:eastAsia="zh-CN"/>
        </w:rPr>
        <w:t>。</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（四）关于丽水市殡仪馆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财政拨款收支预算情况的总体说明</w:t>
      </w:r>
    </w:p>
    <w:p>
      <w:pPr>
        <w:spacing w:line="520" w:lineRule="exact"/>
        <w:ind w:firstLine="640"/>
        <w:rPr>
          <w:rFonts w:ascii="仿宋_GB2312" w:eastAsia="仿宋_GB2312"/>
          <w:color w:val="000000"/>
          <w:sz w:val="32"/>
          <w:szCs w:val="32"/>
        </w:rPr>
      </w:pPr>
      <w:r>
        <w:rPr>
          <w:rFonts w:hint="eastAsia" w:ascii="仿宋_GB2312" w:eastAsia="仿宋_GB2312"/>
          <w:color w:val="000000"/>
          <w:sz w:val="32"/>
          <w:szCs w:val="32"/>
        </w:rPr>
        <w:t>丽水市殡仪馆</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财政拨款收支总预算925.00万元。收入包括：一般公共预算498.00万元、政府性基金427.00万元；支出包括：社会保障和就业支出498.00万元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其他支出427.00万元。</w:t>
      </w:r>
    </w:p>
    <w:p>
      <w:pPr>
        <w:numPr>
          <w:ilvl w:val="0"/>
          <w:numId w:val="1"/>
        </w:numPr>
        <w:spacing w:line="520" w:lineRule="exact"/>
        <w:ind w:firstLine="640"/>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一般公共预算拨款情况说明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1.一般公共预算拨款规模变化情况。</w:t>
      </w:r>
    </w:p>
    <w:p>
      <w:pPr>
        <w:spacing w:line="560" w:lineRule="exact"/>
        <w:ind w:firstLine="642"/>
        <w:rPr>
          <w:rFonts w:hint="eastAsia" w:ascii="仿宋_GB2312" w:hAnsi="仿宋_GB2312" w:eastAsia="仿宋_GB2312"/>
          <w:sz w:val="32"/>
          <w:shd w:val="clear" w:color="auto" w:fill="FFFFFF"/>
          <w:lang w:val="en-US" w:eastAsia="zh-CN" w:bidi="ar"/>
        </w:rPr>
      </w:pPr>
      <w:r>
        <w:rPr>
          <w:rFonts w:hint="eastAsia" w:ascii="仿宋_GB2312" w:hAnsi="仿宋_GB2312" w:eastAsia="仿宋_GB2312" w:cs="仿宋_GB2312"/>
          <w:color w:val="000000"/>
          <w:sz w:val="32"/>
          <w:szCs w:val="32"/>
          <w:highlight w:val="none"/>
        </w:rPr>
        <w:t>丽水市殡仪馆</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一般公共预算拨款</w:t>
      </w:r>
      <w:r>
        <w:rPr>
          <w:rFonts w:hint="eastAsia" w:ascii="仿宋_GB2312" w:hAnsi="仿宋_GB2312" w:eastAsia="仿宋_GB2312" w:cs="仿宋_GB2312"/>
          <w:bCs/>
          <w:color w:val="000000"/>
          <w:sz w:val="32"/>
          <w:szCs w:val="32"/>
          <w:highlight w:val="none"/>
        </w:rPr>
        <w:t>498.00</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sz w:val="32"/>
          <w:shd w:val="clear" w:color="auto" w:fill="FFFFFF"/>
          <w:lang w:bidi="ar"/>
        </w:rPr>
        <w:t>与上年执行数</w:t>
      </w:r>
      <w:r>
        <w:rPr>
          <w:rFonts w:hint="eastAsia" w:ascii="仿宋_GB2312" w:hAnsi="仿宋_GB2312" w:eastAsia="仿宋_GB2312"/>
          <w:sz w:val="32"/>
          <w:shd w:val="clear" w:color="auto" w:fill="FFFFFF"/>
          <w:lang w:val="en-US" w:eastAsia="zh-CN" w:bidi="ar"/>
        </w:rPr>
        <w:t>减少了89万元，主要是2024年因惠民减免支出预算参照不规范，不能准确预测执行数，2025年根据实际情况减少了减免支出预算。</w:t>
      </w:r>
    </w:p>
    <w:p>
      <w:pPr>
        <w:spacing w:line="56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2.一般公共预算拨款结构情况。</w:t>
      </w:r>
    </w:p>
    <w:p>
      <w:pPr>
        <w:spacing w:line="520" w:lineRule="exact"/>
        <w:ind w:firstLine="640" w:firstLineChars="200"/>
        <w:rPr>
          <w:rFonts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社会保障和就业支出498.00万元，占100.0%。</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3.一般公共预算拨款具体使用情况。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textAlignment w:val="auto"/>
        <w:outlineLvl w:val="9"/>
        <w:rPr>
          <w:rFonts w:hint="eastAsia" w:ascii="仿宋_GB2312" w:hAnsi="宋体" w:eastAsia="仿宋_GB2312" w:cs="宋体"/>
          <w:color w:val="000000"/>
          <w:kern w:val="0"/>
          <w:sz w:val="32"/>
          <w:szCs w:val="32"/>
        </w:rPr>
      </w:pPr>
      <w:bookmarkStart w:id="2" w:name="OLE_LINK13"/>
      <w:r>
        <w:rPr>
          <w:rFonts w:hint="eastAsia" w:ascii="仿宋_GB2312" w:hAnsi="宋体" w:eastAsia="仿宋_GB2312" w:cs="宋体"/>
          <w:color w:val="000000"/>
          <w:kern w:val="0"/>
          <w:sz w:val="32"/>
          <w:szCs w:val="32"/>
        </w:rPr>
        <w:t>社会保障和就业支出（类）-社会福利（款）-殡葬（项）为</w:t>
      </w:r>
      <w:r>
        <w:rPr>
          <w:rFonts w:hint="eastAsia" w:ascii="仿宋_GB2312" w:hAnsi="宋体" w:eastAsia="仿宋_GB2312" w:cs="宋体"/>
          <w:color w:val="000000"/>
          <w:kern w:val="0"/>
          <w:sz w:val="32"/>
          <w:szCs w:val="32"/>
          <w:lang w:val="en-US" w:eastAsia="zh-CN"/>
        </w:rPr>
        <w:t>498</w:t>
      </w:r>
      <w:r>
        <w:rPr>
          <w:rFonts w:hint="eastAsia" w:ascii="仿宋_GB2312" w:hAnsi="宋体" w:eastAsia="仿宋_GB2312" w:cs="宋体"/>
          <w:color w:val="000000"/>
          <w:kern w:val="0"/>
          <w:sz w:val="32"/>
          <w:szCs w:val="32"/>
        </w:rPr>
        <w:t>万元，主要用于市殡仪馆单位运行</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人员基本支出</w:t>
      </w:r>
      <w:r>
        <w:rPr>
          <w:rFonts w:hint="eastAsia" w:ascii="仿宋_GB2312" w:hAnsi="宋体" w:eastAsia="仿宋_GB2312" w:cs="宋体"/>
          <w:color w:val="000000"/>
          <w:kern w:val="0"/>
          <w:sz w:val="32"/>
          <w:szCs w:val="32"/>
          <w:lang w:val="en-US" w:eastAsia="zh-CN"/>
        </w:rPr>
        <w:t>殡葬惠民减免支出</w:t>
      </w:r>
      <w:r>
        <w:rPr>
          <w:rFonts w:hint="eastAsia" w:ascii="仿宋_GB2312" w:hAnsi="宋体" w:eastAsia="仿宋_GB2312" w:cs="宋体"/>
          <w:color w:val="000000"/>
          <w:kern w:val="0"/>
          <w:sz w:val="32"/>
          <w:szCs w:val="32"/>
        </w:rPr>
        <w:t>等方面的支出。</w:t>
      </w:r>
      <w:bookmarkEnd w:id="2"/>
    </w:p>
    <w:p>
      <w:pPr>
        <w:spacing w:line="520" w:lineRule="exact"/>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    （六）关于丽水市殡仪馆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一般公共预算基本支出情况说明</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丽水市殡仪馆</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一般公共预算基本支出250.00万元，其中：</w:t>
      </w:r>
    </w:p>
    <w:p>
      <w:pPr>
        <w:spacing w:line="520" w:lineRule="exact"/>
        <w:ind w:firstLine="642"/>
        <w:rPr>
          <w:rFonts w:hint="eastAsia" w:ascii="仿宋_GB2312" w:eastAsia="仿宋_GB2312"/>
          <w:bCs/>
          <w:sz w:val="32"/>
          <w:szCs w:val="32"/>
          <w:lang w:val="en-US" w:eastAsia="zh-CN"/>
        </w:rPr>
      </w:pPr>
      <w:r>
        <w:rPr>
          <w:rFonts w:hint="eastAsia" w:ascii="仿宋_GB2312" w:eastAsia="仿宋_GB2312"/>
          <w:bCs/>
          <w:sz w:val="32"/>
          <w:szCs w:val="32"/>
          <w:lang w:val="en-US" w:eastAsia="zh-CN"/>
        </w:rPr>
        <w:t>人员经费250万元，主要包括：基本工资250万元。</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（七）关于丽水市殡仪馆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政府性基金预算支出情况说明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1.政府性基金预算拨款规模变化情况。</w:t>
      </w:r>
    </w:p>
    <w:p>
      <w:pPr>
        <w:spacing w:line="560" w:lineRule="exact"/>
        <w:ind w:firstLine="642"/>
        <w:rPr>
          <w:rFonts w:hint="eastAsia" w:ascii="仿宋_GB2312" w:eastAsia="仿宋_GB2312"/>
          <w:bCs/>
          <w:sz w:val="32"/>
          <w:szCs w:val="32"/>
          <w:lang w:val="en-US" w:eastAsia="zh-CN"/>
        </w:rPr>
      </w:pPr>
      <w:r>
        <w:rPr>
          <w:rFonts w:hint="eastAsia" w:ascii="仿宋_GB2312" w:eastAsia="仿宋_GB2312"/>
          <w:bCs/>
          <w:sz w:val="32"/>
          <w:szCs w:val="32"/>
          <w:lang w:eastAsia="zh-CN"/>
        </w:rPr>
        <w:t>丽水市殡仪馆</w:t>
      </w:r>
      <w:r>
        <w:rPr>
          <w:rFonts w:hint="eastAsia" w:ascii="仿宋_GB2312" w:eastAsia="仿宋_GB2312"/>
          <w:bCs/>
          <w:sz w:val="32"/>
          <w:szCs w:val="32"/>
          <w:lang w:val="en-US" w:eastAsia="zh-CN"/>
        </w:rPr>
        <w:t>2025年政府性基金预算当年拨款427万元，比2024年执行数增加345万元，</w:t>
      </w:r>
      <w:r>
        <w:rPr>
          <w:rFonts w:hint="eastAsia" w:ascii="仿宋_GB2312" w:eastAsia="仿宋_GB2312"/>
          <w:bCs/>
          <w:sz w:val="32"/>
          <w:szCs w:val="32"/>
        </w:rPr>
        <w:t>增长</w:t>
      </w:r>
      <w:r>
        <w:rPr>
          <w:rFonts w:hint="eastAsia" w:ascii="仿宋_GB2312" w:eastAsia="仿宋_GB2312"/>
          <w:bCs/>
          <w:sz w:val="32"/>
          <w:szCs w:val="32"/>
          <w:lang w:val="en-US" w:eastAsia="zh-CN"/>
        </w:rPr>
        <w:t>19</w:t>
      </w:r>
      <w:r>
        <w:rPr>
          <w:rFonts w:hint="eastAsia" w:ascii="仿宋_GB2312" w:eastAsia="仿宋_GB2312"/>
          <w:bCs/>
          <w:sz w:val="32"/>
          <w:szCs w:val="32"/>
        </w:rPr>
        <w:t>%</w:t>
      </w:r>
      <w:r>
        <w:rPr>
          <w:rFonts w:hint="eastAsia" w:ascii="仿宋_GB2312" w:eastAsia="仿宋_GB2312"/>
          <w:bCs/>
          <w:sz w:val="32"/>
          <w:szCs w:val="32"/>
          <w:lang w:eastAsia="zh-CN"/>
        </w:rPr>
        <w:t>，</w:t>
      </w:r>
      <w:r>
        <w:rPr>
          <w:rFonts w:hint="eastAsia" w:ascii="仿宋_GB2312" w:eastAsia="仿宋_GB2312"/>
          <w:bCs/>
          <w:sz w:val="32"/>
          <w:szCs w:val="32"/>
          <w:lang w:val="en-US" w:eastAsia="zh-CN"/>
        </w:rPr>
        <w:t>主要是用于改善殡仪馆殡仪服务保障设施，包括</w:t>
      </w:r>
      <w:bookmarkStart w:id="3" w:name="OLE_LINK3"/>
      <w:r>
        <w:rPr>
          <w:rFonts w:hint="eastAsia" w:ascii="仿宋_GB2312" w:eastAsia="仿宋_GB2312"/>
          <w:bCs/>
          <w:sz w:val="32"/>
          <w:szCs w:val="32"/>
          <w:lang w:val="en-US" w:eastAsia="zh-CN"/>
        </w:rPr>
        <w:t>付采购2台平板火化炉（含尾气处理系统）及拆除并更换原4套尾气处理系统项目尾款; 丽水市殡仪馆殡仪服务车更新（4台）采购项目丽水市殡仪馆骨灰整理机及附属设施设备采购项目；丽水市殡仪馆改造提升项目；丽水市殡仪馆告别厅（含候灰厅）周边绿化项目；殡葬文化设施改造提升项目；丽水市殡仪馆空间终末消毒净化设备采购项目支出。</w:t>
      </w:r>
    </w:p>
    <w:bookmarkEnd w:id="3"/>
    <w:p>
      <w:pPr>
        <w:spacing w:line="520" w:lineRule="exact"/>
        <w:ind w:firstLine="642"/>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2.政府性基金预算拨款结构情况。</w:t>
      </w:r>
    </w:p>
    <w:p>
      <w:pPr>
        <w:spacing w:line="520" w:lineRule="exact"/>
        <w:ind w:firstLine="642"/>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其他支出427.00万元，占100.0%。</w:t>
      </w:r>
    </w:p>
    <w:p>
      <w:pPr>
        <w:spacing w:line="520" w:lineRule="exact"/>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 xml:space="preserve">  3.政府性基金预算拨款具体使用情况。</w:t>
      </w:r>
    </w:p>
    <w:p>
      <w:pPr>
        <w:spacing w:line="560" w:lineRule="exact"/>
        <w:ind w:firstLine="642"/>
        <w:rPr>
          <w:rFonts w:hint="default" w:ascii="仿宋_GB2312" w:eastAsia="仿宋_GB2312"/>
          <w:bCs/>
          <w:sz w:val="32"/>
          <w:szCs w:val="32"/>
        </w:rPr>
      </w:pPr>
      <w:r>
        <w:rPr>
          <w:rFonts w:hint="eastAsia" w:ascii="仿宋_GB2312" w:eastAsia="仿宋_GB2312"/>
          <w:bCs/>
          <w:sz w:val="32"/>
          <w:szCs w:val="32"/>
        </w:rPr>
        <w:t>其他支出（类）-彩票公益金安排的支出（款）- 用于社会福利的彩票公益金支出（项）为</w:t>
      </w:r>
      <w:r>
        <w:rPr>
          <w:rFonts w:hint="eastAsia" w:ascii="仿宋_GB2312" w:eastAsia="仿宋_GB2312"/>
          <w:bCs/>
          <w:sz w:val="32"/>
          <w:szCs w:val="32"/>
          <w:lang w:val="en-US" w:eastAsia="zh-CN"/>
        </w:rPr>
        <w:t>427</w:t>
      </w:r>
      <w:r>
        <w:rPr>
          <w:rFonts w:hint="eastAsia" w:ascii="仿宋_GB2312" w:eastAsia="仿宋_GB2312"/>
          <w:bCs/>
          <w:sz w:val="32"/>
          <w:szCs w:val="32"/>
        </w:rPr>
        <w:t>万元，主要</w:t>
      </w:r>
      <w:r>
        <w:rPr>
          <w:rFonts w:hint="eastAsia" w:ascii="仿宋_GB2312" w:eastAsia="仿宋_GB2312"/>
          <w:bCs/>
          <w:sz w:val="32"/>
          <w:szCs w:val="32"/>
          <w:lang w:val="en-US" w:eastAsia="zh-CN"/>
        </w:rPr>
        <w:t>用于付采购2台平板火化炉（含尾气处理系统）及拆除并更换原4套尾气处理系统项目尾款; 丽水市殡仪馆殡仪服务车更新（4台）采购项目丽水市殡仪馆骨灰整理机及附属设施设备采购项目；丽水市殡仪馆改造提升项目；丽水市殡仪馆告别厅（含候灰厅）周边绿化项目；殡葬文化设施改造提升项目；丽水市殡仪馆空间终末消毒净化设备采购项目支出。</w:t>
      </w:r>
    </w:p>
    <w:p>
      <w:pPr>
        <w:spacing w:line="520" w:lineRule="exact"/>
        <w:ind w:firstLine="627" w:firstLineChars="196"/>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（八）关于丽水市殡仪馆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国有资本经营预算支出情况说明</w:t>
      </w:r>
    </w:p>
    <w:p>
      <w:pPr>
        <w:spacing w:line="560" w:lineRule="exact"/>
        <w:ind w:firstLine="642"/>
        <w:rPr>
          <w:rFonts w:hint="eastAsia" w:ascii="仿宋_GB2312" w:hAnsi="Times New Roman" w:eastAsia="仿宋_GB2312" w:cs="Times New Roman"/>
          <w:bCs/>
          <w:sz w:val="32"/>
          <w:szCs w:val="32"/>
          <w:lang w:eastAsia="zh-CN"/>
        </w:rPr>
      </w:pPr>
      <w:r>
        <w:rPr>
          <w:rFonts w:hint="eastAsia" w:ascii="仿宋_GB2312" w:hAnsi="Times New Roman" w:eastAsia="仿宋_GB2312" w:cs="Times New Roman"/>
          <w:bCs/>
          <w:sz w:val="32"/>
          <w:szCs w:val="32"/>
        </w:rPr>
        <w:t>丽水市殡仪馆</w:t>
      </w:r>
      <w:r>
        <w:rPr>
          <w:rFonts w:hint="eastAsia" w:ascii="仿宋_GB2312" w:hAnsi="Times New Roman" w:eastAsia="仿宋_GB2312" w:cs="Times New Roman"/>
          <w:bCs/>
          <w:sz w:val="32"/>
          <w:szCs w:val="32"/>
          <w:lang w:eastAsia="zh-CN"/>
        </w:rPr>
        <w:t>2025年</w:t>
      </w:r>
      <w:r>
        <w:rPr>
          <w:rFonts w:hint="eastAsia" w:ascii="仿宋_GB2312" w:hAnsi="Times New Roman" w:eastAsia="仿宋_GB2312" w:cs="Times New Roman"/>
          <w:bCs/>
          <w:sz w:val="32"/>
          <w:szCs w:val="32"/>
        </w:rPr>
        <w:t>没有使用国有资本经营预算拨款安排的支出</w:t>
      </w:r>
      <w:r>
        <w:rPr>
          <w:rFonts w:hint="eastAsia" w:ascii="仿宋_GB2312" w:hAnsi="Times New Roman" w:eastAsia="仿宋_GB2312" w:cs="Times New Roman"/>
          <w:bCs/>
          <w:sz w:val="32"/>
          <w:szCs w:val="32"/>
          <w:lang w:eastAsia="zh-CN"/>
        </w:rPr>
        <w:t>。</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（九）关于丽水市殡仪馆</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sz w:val="32"/>
          <w:szCs w:val="32"/>
        </w:rPr>
        <w:t>一般公共预算</w:t>
      </w:r>
      <w:r>
        <w:rPr>
          <w:rFonts w:hint="eastAsia" w:ascii="楷体_GB2312" w:hAnsi="楷体_GB2312" w:eastAsia="楷体_GB2312" w:cs="楷体_GB2312"/>
          <w:bCs/>
          <w:color w:val="000000"/>
          <w:sz w:val="32"/>
          <w:szCs w:val="32"/>
        </w:rPr>
        <w:t>“三公”经费预算情况说明</w:t>
      </w:r>
    </w:p>
    <w:p>
      <w:pPr>
        <w:spacing w:line="560" w:lineRule="exact"/>
        <w:ind w:firstLine="640" w:firstLineChars="200"/>
        <w:rPr>
          <w:rFonts w:ascii="仿宋_GB2312" w:hAnsi="仿宋_GB2312" w:eastAsia="仿宋_GB2312"/>
          <w:sz w:val="32"/>
        </w:rPr>
      </w:pPr>
      <w:r>
        <w:rPr>
          <w:rFonts w:hint="eastAsia" w:ascii="仿宋_GB2312" w:hAnsi="仿宋_GB2312" w:eastAsia="仿宋_GB2312"/>
          <w:sz w:val="32"/>
        </w:rPr>
        <w:t>丽水市殡仪馆</w:t>
      </w:r>
      <w:r>
        <w:rPr>
          <w:rFonts w:hint="eastAsia" w:ascii="仿宋_GB2312" w:hAnsi="仿宋_GB2312" w:eastAsia="仿宋_GB2312"/>
          <w:sz w:val="32"/>
          <w:lang w:val="en-US" w:eastAsia="zh-CN"/>
        </w:rPr>
        <w:t>为公益二类事业单位，按照相关规定无“三公”经费安排，</w:t>
      </w:r>
      <w:r>
        <w:rPr>
          <w:rFonts w:hint="eastAsia" w:ascii="仿宋_GB2312" w:hAnsi="仿宋_GB2312" w:eastAsia="仿宋_GB2312"/>
          <w:sz w:val="32"/>
          <w:lang w:eastAsia="zh-CN"/>
        </w:rPr>
        <w:t>2025</w:t>
      </w:r>
      <w:r>
        <w:rPr>
          <w:rFonts w:hint="eastAsia" w:ascii="仿宋_GB2312" w:hAnsi="仿宋_GB2312" w:eastAsia="仿宋_GB2312"/>
          <w:sz w:val="32"/>
        </w:rPr>
        <w:t>年“三公”经费预算数为</w:t>
      </w:r>
      <w:r>
        <w:rPr>
          <w:rFonts w:hint="eastAsia" w:ascii="仿宋_GB2312" w:eastAsia="仿宋_GB2312"/>
          <w:color w:val="000000"/>
          <w:sz w:val="32"/>
          <w:szCs w:val="32"/>
        </w:rPr>
        <w:t>0</w:t>
      </w:r>
      <w:r>
        <w:rPr>
          <w:rFonts w:hint="eastAsia" w:ascii="仿宋_GB2312" w:hAnsi="仿宋_GB2312" w:eastAsia="仿宋_GB2312"/>
          <w:sz w:val="32"/>
        </w:rPr>
        <w:t>万元，</w:t>
      </w:r>
      <w:r>
        <w:rPr>
          <w:rFonts w:hint="eastAsia" w:ascii="仿宋_GB2312" w:hAnsi="仿宋_GB2312" w:eastAsia="仿宋_GB2312"/>
          <w:sz w:val="32"/>
          <w:shd w:val="clear" w:color="auto" w:fill="FFFFFF"/>
          <w:lang w:bidi="ar"/>
        </w:rPr>
        <w:t>与上年执行数持平，</w:t>
      </w:r>
      <w:r>
        <w:rPr>
          <w:rFonts w:hint="eastAsia" w:ascii="仿宋_GB2312" w:hAnsi="仿宋_GB2312" w:eastAsia="仿宋_GB2312"/>
          <w:sz w:val="32"/>
        </w:rPr>
        <w:t>具体如下：</w:t>
      </w:r>
    </w:p>
    <w:p>
      <w:pPr>
        <w:spacing w:line="560" w:lineRule="exact"/>
        <w:ind w:firstLine="640" w:firstLineChars="200"/>
        <w:rPr>
          <w:rFonts w:hint="eastAsia" w:ascii="仿宋_GB2312" w:eastAsia="仿宋_GB2312"/>
          <w:bCs/>
          <w:sz w:val="32"/>
          <w:szCs w:val="32"/>
        </w:rPr>
      </w:pPr>
      <w:r>
        <w:rPr>
          <w:rFonts w:hint="eastAsia" w:ascii="仿宋_GB2312" w:eastAsia="仿宋_GB2312"/>
          <w:bCs/>
          <w:sz w:val="32"/>
          <w:szCs w:val="32"/>
        </w:rPr>
        <w:t>1.因公出国（境）费用：根据市外办安排的因公出国计划和实际工作需要，</w:t>
      </w:r>
      <w:r>
        <w:rPr>
          <w:rFonts w:hint="eastAsia" w:ascii="仿宋_GB2312" w:eastAsia="仿宋_GB2312"/>
          <w:bCs/>
          <w:sz w:val="32"/>
          <w:szCs w:val="32"/>
          <w:lang w:eastAsia="zh-CN"/>
        </w:rPr>
        <w:t>2025</w:t>
      </w:r>
      <w:r>
        <w:rPr>
          <w:rFonts w:hint="eastAsia" w:ascii="仿宋_GB2312" w:eastAsia="仿宋_GB2312"/>
          <w:bCs/>
          <w:sz w:val="32"/>
          <w:szCs w:val="32"/>
        </w:rPr>
        <w:t>年安排因公出国（境）费用预算0万元，跟上年执行数持平。主要用于殡仪馆人员的培训等公务出国（境）的国际旅费、国外城市间交通费、住宿费、伙食费、培训费、公杂费等支出。</w:t>
      </w:r>
    </w:p>
    <w:p>
      <w:pPr>
        <w:spacing w:line="560" w:lineRule="exact"/>
        <w:ind w:firstLine="320" w:firstLineChars="100"/>
        <w:rPr>
          <w:rFonts w:ascii="仿宋_GB2312" w:hAnsi="宋体" w:eastAsia="仿宋_GB2312" w:cs="宋体"/>
          <w:color w:val="000000"/>
          <w:kern w:val="0"/>
          <w:sz w:val="32"/>
          <w:szCs w:val="32"/>
        </w:rPr>
      </w:pPr>
      <w:r>
        <w:rPr>
          <w:rFonts w:hint="eastAsia" w:ascii="仿宋_GB2312" w:hAnsi="仿宋_GB2312" w:eastAsia="仿宋_GB2312" w:cs="仿宋_GB2312"/>
          <w:color w:val="FF0000"/>
          <w:sz w:val="32"/>
          <w:szCs w:val="32"/>
        </w:rPr>
        <w:t xml:space="preserve"> </w:t>
      </w:r>
      <w:r>
        <w:rPr>
          <w:rFonts w:hint="eastAsia" w:ascii="仿宋_GB2312" w:hAnsi="仿宋_GB2312" w:eastAsia="仿宋_GB2312" w:cs="仿宋_GB2312"/>
          <w:color w:val="000000"/>
          <w:sz w:val="32"/>
          <w:szCs w:val="32"/>
        </w:rPr>
        <w:t>2.公务接待费：</w:t>
      </w:r>
      <w:r>
        <w:rPr>
          <w:rFonts w:hint="eastAsia" w:ascii="仿宋_GB2312" w:hAnsi="仿宋_GB2312"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年安排公务接待费预算</w:t>
      </w:r>
      <w:r>
        <w:rPr>
          <w:rFonts w:hint="eastAsia" w:ascii="仿宋_GB2312" w:eastAsia="仿宋_GB2312"/>
          <w:color w:val="000000"/>
          <w:sz w:val="32"/>
          <w:szCs w:val="32"/>
        </w:rPr>
        <w:t>0</w:t>
      </w:r>
      <w:r>
        <w:rPr>
          <w:rFonts w:hint="eastAsia" w:ascii="仿宋_GB2312" w:hAnsi="仿宋_GB2312" w:eastAsia="仿宋_GB2312" w:cs="仿宋_GB2312"/>
          <w:color w:val="000000"/>
          <w:sz w:val="32"/>
          <w:szCs w:val="32"/>
        </w:rPr>
        <w:t>万元，与上年执行数持平。主要用于</w:t>
      </w:r>
      <w:r>
        <w:rPr>
          <w:rFonts w:hint="eastAsia" w:ascii="仿宋_GB2312" w:hAnsi="宋体" w:eastAsia="仿宋_GB2312" w:cs="宋体"/>
          <w:color w:val="000000"/>
          <w:kern w:val="0"/>
          <w:sz w:val="32"/>
          <w:szCs w:val="32"/>
        </w:rPr>
        <w:t>殡仪馆各项公务活动接待支出等支出。</w:t>
      </w:r>
    </w:p>
    <w:p>
      <w:pPr>
        <w:pStyle w:val="15"/>
        <w:spacing w:line="520" w:lineRule="exact"/>
        <w:ind w:firstLine="640" w:firstLineChars="200"/>
        <w:rPr>
          <w:rFonts w:ascii="仿宋_GB2312" w:eastAsia="仿宋_GB2312"/>
          <w:b/>
          <w:bCs/>
          <w:sz w:val="32"/>
          <w:szCs w:val="32"/>
        </w:rPr>
      </w:pPr>
      <w:r>
        <w:rPr>
          <w:rFonts w:hint="eastAsia" w:ascii="仿宋_GB2312" w:eastAsia="仿宋_GB2312"/>
          <w:bCs/>
          <w:sz w:val="32"/>
          <w:szCs w:val="32"/>
        </w:rPr>
        <w:t>3.公务用车购置及运行维护费：</w:t>
      </w:r>
      <w:r>
        <w:rPr>
          <w:rFonts w:hint="eastAsia" w:ascii="仿宋_GB2312" w:eastAsia="仿宋_GB2312"/>
          <w:bCs/>
          <w:sz w:val="32"/>
          <w:szCs w:val="32"/>
          <w:lang w:eastAsia="zh-CN"/>
        </w:rPr>
        <w:t>2025</w:t>
      </w:r>
      <w:r>
        <w:rPr>
          <w:rFonts w:hint="eastAsia" w:ascii="仿宋_GB2312" w:eastAsia="仿宋_GB2312"/>
          <w:bCs/>
          <w:sz w:val="32"/>
          <w:szCs w:val="32"/>
        </w:rPr>
        <w:t>年安排公务用车购置及运行维护费预算0万元，跟上年执行数持平。</w:t>
      </w:r>
      <w:r>
        <w:rPr>
          <w:rFonts w:hint="eastAsia" w:ascii="仿宋_GB2312" w:eastAsia="仿宋_GB2312"/>
          <w:sz w:val="32"/>
          <w:szCs w:val="32"/>
          <w:highlight w:val="none"/>
        </w:rPr>
        <w:t>其中，公务用车购置支出0.00万元（含购置税等附加费用），主要用于经批准购置的</w:t>
      </w:r>
      <w:r>
        <w:rPr>
          <w:rFonts w:hint="eastAsia" w:ascii="仿宋_GB2312" w:eastAsia="仿宋_GB2312"/>
          <w:color w:val="000000"/>
          <w:sz w:val="32"/>
          <w:szCs w:val="32"/>
          <w:highlight w:val="none"/>
          <w:lang w:val="en-US" w:eastAsia="zh-CN"/>
        </w:rPr>
        <w:t>0</w:t>
      </w:r>
      <w:r>
        <w:rPr>
          <w:rFonts w:hint="eastAsia" w:ascii="仿宋_GB2312" w:eastAsia="仿宋_GB2312"/>
          <w:sz w:val="32"/>
          <w:szCs w:val="32"/>
          <w:highlight w:val="none"/>
        </w:rPr>
        <w:t>辆公务用车，</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rPr>
        <w:t>上年预算数</w:t>
      </w:r>
      <w:r>
        <w:rPr>
          <w:rFonts w:hint="eastAsia" w:ascii="仿宋_GB2312" w:eastAsia="仿宋_GB2312"/>
          <w:sz w:val="32"/>
          <w:szCs w:val="32"/>
          <w:highlight w:val="none"/>
          <w:lang w:val="en-US" w:eastAsia="zh-CN"/>
        </w:rPr>
        <w:t>持平；</w:t>
      </w:r>
      <w:r>
        <w:rPr>
          <w:rFonts w:hint="eastAsia" w:ascii="仿宋_GB2312" w:eastAsia="仿宋_GB2312"/>
          <w:sz w:val="32"/>
          <w:szCs w:val="32"/>
          <w:highlight w:val="none"/>
        </w:rPr>
        <w:t>公务用车运行维护费支出</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万元，主要用于公务用车燃料费、新能源汽车充电费、维修费、过桥过路费、保险费、安全奖励费用等支出</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rPr>
        <w:t>上年预算数</w:t>
      </w:r>
      <w:r>
        <w:rPr>
          <w:rFonts w:hint="eastAsia" w:ascii="仿宋_GB2312" w:eastAsia="仿宋_GB2312"/>
          <w:sz w:val="32"/>
          <w:szCs w:val="32"/>
          <w:highlight w:val="none"/>
          <w:lang w:val="en-US" w:eastAsia="zh-CN"/>
        </w:rPr>
        <w:t>持平。</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1.政府采购情况</w:t>
      </w:r>
    </w:p>
    <w:p>
      <w:pPr>
        <w:pStyle w:val="15"/>
        <w:spacing w:line="560" w:lineRule="exact"/>
        <w:ind w:firstLine="642"/>
        <w:rPr>
          <w:rFonts w:hint="eastAsia" w:ascii="仿宋_GB2312" w:eastAsia="仿宋_GB2312"/>
          <w:color w:val="000000"/>
          <w:sz w:val="32"/>
          <w:szCs w:val="32"/>
        </w:rPr>
      </w:pPr>
      <w:r>
        <w:rPr>
          <w:rFonts w:hint="eastAsia" w:ascii="仿宋_GB2312" w:eastAsia="仿宋_GB2312"/>
          <w:sz w:val="32"/>
          <w:szCs w:val="32"/>
          <w:lang w:eastAsia="zh-CN"/>
        </w:rPr>
        <w:t>2025年</w:t>
      </w:r>
      <w:r>
        <w:rPr>
          <w:rFonts w:hint="eastAsia" w:ascii="仿宋_GB2312" w:eastAsia="仿宋_GB2312"/>
          <w:sz w:val="32"/>
          <w:szCs w:val="32"/>
        </w:rPr>
        <w:t>丽水市殡仪馆</w:t>
      </w:r>
      <w:r>
        <w:rPr>
          <w:rFonts w:hint="eastAsia" w:ascii="仿宋_GB2312" w:eastAsia="仿宋_GB2312"/>
          <w:color w:val="000000"/>
          <w:sz w:val="32"/>
          <w:szCs w:val="32"/>
        </w:rPr>
        <w:t>各单位政府采购预算总额</w:t>
      </w:r>
      <w:r>
        <w:rPr>
          <w:rFonts w:ascii="仿宋_GB2312" w:eastAsia="仿宋_GB2312"/>
          <w:color w:val="000000"/>
          <w:sz w:val="32"/>
          <w:szCs w:val="32"/>
        </w:rPr>
        <w:t>12.00</w:t>
      </w:r>
      <w:r>
        <w:rPr>
          <w:rFonts w:hint="eastAsia" w:ascii="仿宋_GB2312" w:eastAsia="仿宋_GB2312"/>
          <w:color w:val="000000"/>
          <w:sz w:val="32"/>
          <w:szCs w:val="32"/>
        </w:rPr>
        <w:t>万元，其中：政府采购货物预算5.00万元、政府采购工程预算0.00万元、政府采购服务预算</w:t>
      </w:r>
      <w:r>
        <w:rPr>
          <w:rFonts w:ascii="仿宋_GB2312" w:eastAsia="仿宋_GB2312"/>
          <w:color w:val="000000"/>
          <w:sz w:val="32"/>
          <w:szCs w:val="32"/>
        </w:rPr>
        <w:t>7.00</w:t>
      </w:r>
      <w:r>
        <w:rPr>
          <w:rFonts w:hint="eastAsia" w:ascii="仿宋_GB2312" w:eastAsia="仿宋_GB2312"/>
          <w:color w:val="000000"/>
          <w:sz w:val="32"/>
          <w:szCs w:val="32"/>
        </w:rPr>
        <w:t>万元。</w:t>
      </w:r>
    </w:p>
    <w:p>
      <w:pPr>
        <w:pStyle w:val="15"/>
        <w:spacing w:line="560" w:lineRule="exact"/>
        <w:ind w:firstLine="642"/>
        <w:rPr>
          <w:rFonts w:ascii="仿宋_GB2312" w:eastAsia="仿宋_GB2312"/>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.国有资产占有使用情况</w:t>
      </w:r>
    </w:p>
    <w:p>
      <w:pPr>
        <w:pStyle w:val="15"/>
        <w:keepNext w:val="0"/>
        <w:keepLines w:val="0"/>
        <w:pageBreakBefore w:val="0"/>
        <w:widowControl/>
        <w:kinsoku/>
        <w:wordWrap/>
        <w:overflowPunct/>
        <w:topLinePunct w:val="0"/>
        <w:autoSpaceDE/>
        <w:autoSpaceDN/>
        <w:bidi w:val="0"/>
        <w:adjustRightInd/>
        <w:snapToGrid/>
        <w:spacing w:line="560" w:lineRule="exact"/>
        <w:ind w:firstLine="664"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pacing w:val="6"/>
          <w:sz w:val="32"/>
          <w:szCs w:val="32"/>
        </w:rPr>
        <w:t>截至202</w:t>
      </w:r>
      <w:r>
        <w:rPr>
          <w:rFonts w:hint="eastAsia" w:ascii="仿宋_GB2312" w:hAnsi="仿宋_GB2312" w:eastAsia="仿宋_GB2312" w:cs="仿宋_GB2312"/>
          <w:spacing w:val="6"/>
          <w:sz w:val="32"/>
          <w:szCs w:val="32"/>
          <w:lang w:val="en-US" w:eastAsia="zh-CN"/>
        </w:rPr>
        <w:t>4</w:t>
      </w:r>
      <w:r>
        <w:rPr>
          <w:rFonts w:hint="eastAsia" w:ascii="仿宋_GB2312" w:hAnsi="仿宋_GB2312" w:eastAsia="仿宋_GB2312" w:cs="仿宋_GB2312"/>
          <w:spacing w:val="6"/>
          <w:sz w:val="32"/>
          <w:szCs w:val="32"/>
        </w:rPr>
        <w:t>年12月31日，</w:t>
      </w:r>
      <w:r>
        <w:rPr>
          <w:rFonts w:hint="eastAsia" w:ascii="仿宋_GB2312" w:eastAsia="仿宋_GB2312"/>
          <w:bCs/>
          <w:sz w:val="32"/>
          <w:szCs w:val="32"/>
        </w:rPr>
        <w:t>殡仪馆</w:t>
      </w:r>
      <w:r>
        <w:rPr>
          <w:rFonts w:hint="eastAsia" w:ascii="仿宋_GB2312" w:hAnsi="仿宋_GB2312" w:eastAsia="仿宋_GB2312" w:cs="仿宋_GB2312"/>
          <w:spacing w:val="6"/>
          <w:sz w:val="32"/>
          <w:szCs w:val="32"/>
        </w:rPr>
        <w:t>共有车辆</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辆。其中，应急保障用车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辆、老干部服务用车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辆、行政执法专用车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辆。单位价值100万元以上设备0台（套）。</w:t>
      </w:r>
      <w:bookmarkStart w:id="4" w:name="_GoBack"/>
      <w:bookmarkEnd w:id="4"/>
      <w:r>
        <w:rPr>
          <w:rFonts w:hint="eastAsia" w:ascii="仿宋_GB2312" w:eastAsia="仿宋_GB2312"/>
          <w:color w:val="000000"/>
          <w:sz w:val="32"/>
          <w:szCs w:val="32"/>
        </w:rPr>
        <w:t xml:space="preserve">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eastAsia="仿宋_GB2312"/>
          <w:bCs/>
          <w:sz w:val="32"/>
          <w:szCs w:val="32"/>
        </w:rPr>
        <w:t>殡仪馆</w:t>
      </w:r>
      <w:r>
        <w:rPr>
          <w:rFonts w:hint="eastAsia" w:ascii="仿宋_GB2312" w:hAnsi="仿宋" w:eastAsia="仿宋_GB2312"/>
          <w:sz w:val="32"/>
          <w:szCs w:val="32"/>
          <w:lang w:val="en-US" w:eastAsia="zh-CN"/>
        </w:rPr>
        <w:t>安排更新殡仪馆服务车4台，安排使用资金100万元，</w:t>
      </w:r>
      <w:r>
        <w:rPr>
          <w:rFonts w:hint="eastAsia" w:ascii="仿宋_GB2312" w:hAnsi="仿宋_GB2312" w:eastAsia="仿宋_GB2312" w:cs="仿宋_GB2312"/>
          <w:sz w:val="32"/>
          <w:szCs w:val="32"/>
        </w:rPr>
        <w:t>单位价值100万元以上专用设备0台（套）。</w:t>
      </w:r>
    </w:p>
    <w:p>
      <w:pPr>
        <w:pStyle w:val="15"/>
        <w:spacing w:line="520" w:lineRule="exact"/>
        <w:ind w:firstLine="643" w:firstLineChars="200"/>
        <w:rPr>
          <w:rFonts w:ascii="仿宋_GB2312" w:eastAsia="仿宋_GB2312"/>
          <w:b/>
          <w:bCs/>
          <w:sz w:val="32"/>
          <w:szCs w:val="32"/>
        </w:rPr>
      </w:pPr>
      <w:r>
        <w:rPr>
          <w:rFonts w:hint="eastAsia" w:ascii="仿宋_GB2312" w:eastAsia="仿宋_GB2312"/>
          <w:b/>
          <w:bCs/>
          <w:sz w:val="32"/>
          <w:szCs w:val="32"/>
          <w:lang w:val="en-US" w:eastAsia="zh-CN"/>
        </w:rPr>
        <w:t>3</w:t>
      </w:r>
      <w:r>
        <w:rPr>
          <w:rFonts w:hint="eastAsia" w:ascii="仿宋_GB2312" w:eastAsia="仿宋_GB2312"/>
          <w:b/>
          <w:bCs/>
          <w:sz w:val="32"/>
          <w:szCs w:val="32"/>
        </w:rPr>
        <w:t>.预算绩效情况说明。</w:t>
      </w:r>
    </w:p>
    <w:p>
      <w:pPr>
        <w:pStyle w:val="15"/>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丽水市</w:t>
      </w:r>
      <w:r>
        <w:rPr>
          <w:rFonts w:hint="eastAsia" w:ascii="仿宋_GB2312" w:hAnsi="仿宋_GB2312" w:eastAsia="仿宋_GB2312" w:cs="仿宋_GB2312"/>
          <w:sz w:val="32"/>
          <w:szCs w:val="32"/>
          <w:lang w:val="en-US" w:eastAsia="zh-CN"/>
        </w:rPr>
        <w:t>殡仪馆</w:t>
      </w:r>
      <w:r>
        <w:rPr>
          <w:rFonts w:ascii="仿宋_GB2312" w:hAnsi="仿宋_GB2312" w:eastAsia="仿宋_GB2312" w:cs="仿宋_GB2312"/>
          <w:sz w:val="32"/>
          <w:szCs w:val="32"/>
        </w:rPr>
        <w:t>其他运转类项目和特定目标类项目均实行绩效目标管理，共计1个一级项目，涉及当年资金</w:t>
      </w:r>
      <w:r>
        <w:rPr>
          <w:rFonts w:hint="eastAsia" w:ascii="仿宋_GB2312" w:hAnsi="仿宋_GB2312" w:eastAsia="仿宋_GB2312" w:cs="仿宋_GB2312"/>
          <w:sz w:val="32"/>
          <w:szCs w:val="32"/>
          <w:lang w:val="en-US" w:eastAsia="zh-CN"/>
        </w:rPr>
        <w:t>705</w:t>
      </w:r>
      <w:r>
        <w:rPr>
          <w:rFonts w:ascii="仿宋_GB2312" w:hAnsi="仿宋_GB2312" w:eastAsia="仿宋_GB2312" w:cs="仿宋_GB2312"/>
          <w:sz w:val="32"/>
          <w:szCs w:val="32"/>
        </w:rPr>
        <w:t>万元。同时，将按照相关制度规定开展绩效自评。一级项目绩效目标表，详见“</w:t>
      </w:r>
      <w:r>
        <w:rPr>
          <w:rFonts w:hint="eastAsia" w:ascii="仿宋_GB2312" w:hAnsi="仿宋_GB2312" w:eastAsia="仿宋_GB2312" w:cs="仿宋_GB2312"/>
          <w:sz w:val="32"/>
          <w:szCs w:val="32"/>
        </w:rPr>
        <w:t>单位</w:t>
      </w:r>
      <w:r>
        <w:rPr>
          <w:rFonts w:ascii="仿宋_GB2312" w:hAnsi="仿宋_GB2312" w:eastAsia="仿宋_GB2312" w:cs="仿宋_GB2312"/>
          <w:sz w:val="32"/>
          <w:szCs w:val="32"/>
        </w:rPr>
        <w:t>项目支出绩效表”</w:t>
      </w:r>
      <w:r>
        <w:rPr>
          <w:rFonts w:hint="eastAsia" w:ascii="仿宋_GB2312" w:hAnsi="仿宋_GB2312" w:eastAsia="仿宋_GB2312" w:cs="仿宋_GB2312"/>
          <w:sz w:val="32"/>
          <w:szCs w:val="32"/>
        </w:rPr>
        <w:t>。</w:t>
      </w:r>
    </w:p>
    <w:p>
      <w:pPr>
        <w:pStyle w:val="15"/>
        <w:spacing w:line="520" w:lineRule="exact"/>
        <w:ind w:firstLine="640" w:firstLineChars="200"/>
        <w:rPr>
          <w:rFonts w:ascii="黑体" w:hAnsi="黑体" w:eastAsia="黑体" w:cs="黑体"/>
          <w:bCs/>
          <w:kern w:val="2"/>
          <w:sz w:val="32"/>
          <w:szCs w:val="32"/>
        </w:rPr>
      </w:pPr>
      <w:r>
        <w:rPr>
          <w:rFonts w:hint="eastAsia" w:ascii="黑体" w:hAnsi="黑体" w:eastAsia="黑体" w:cs="黑体"/>
          <w:bCs/>
          <w:kern w:val="2"/>
          <w:sz w:val="32"/>
          <w:szCs w:val="32"/>
        </w:rPr>
        <w:t>三、名词解释</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1.财政拨款收入：本级财政部门当年拨付的财政预算资金，包括一般公共预算财政拨款</w:t>
      </w:r>
      <w:r>
        <w:rPr>
          <w:rFonts w:hint="eastAsia" w:ascii="仿宋_GB2312" w:eastAsia="仿宋_GB2312"/>
          <w:color w:val="000000"/>
          <w:sz w:val="32"/>
          <w:szCs w:val="32"/>
        </w:rPr>
        <w:t>、</w:t>
      </w:r>
      <w:r>
        <w:rPr>
          <w:rFonts w:hint="eastAsia" w:ascii="仿宋_GB2312" w:hAnsi="仿宋_GB2312" w:eastAsia="仿宋_GB2312" w:cs="仿宋_GB2312"/>
          <w:sz w:val="32"/>
          <w:szCs w:val="32"/>
        </w:rPr>
        <w:t>政府性基金预算和国有资本经营预算财政拨款。</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2.财政专户管理资金:教育收费作为本部门的事业收入，纳入财政专户管理的资金。</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3.事业收入：事业单位开展专业业务活动及辅助活动所取得的收入，不含财政专户管理资金收入。</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4.事业单位经营收入：事业单位在专业业务活动及辅助活动之外开展非独立核算经营活动取得的收入。</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收入：预算单位在“一般公共预算”“政府性基金预算”“国有资本经营预算”“财政专户管理资金”“事业收入”“事业单位经营收入”“上级补助收入”和“附属单位上缴收入”等之外取得的各项收入。</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6.上年结转结余：包括财政拨款结转结余、财政专户管理结转结余和单位资金结转结余。</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7.基本支出：是预算单位为保障其正常运转，完成日常工作任务所发生的支出，包括人员支出和日常公用支出。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8.项目支出：是预算单位为完成其特定的行政工作任务或事业发展目标所发生的支出。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.“三公”经费：纳入财政预决算管理的“三公”经费，是指部门用一般公共预算财政拨款安排的因公出国（境）费</w:t>
      </w:r>
      <w:r>
        <w:rPr>
          <w:rFonts w:hint="eastAsia" w:ascii="仿宋_GB2312" w:hAnsi="仿宋_GB2312" w:eastAsia="仿宋_GB2312" w:cs="仿宋_GB2312"/>
          <w:sz w:val="32"/>
          <w:szCs w:val="32"/>
          <w:lang w:val="en-US" w:eastAsia="zh-CN"/>
        </w:rPr>
        <w:t>用</w:t>
      </w:r>
      <w:r>
        <w:rPr>
          <w:rFonts w:hint="eastAsia" w:ascii="仿宋_GB2312" w:hAnsi="仿宋_GB2312" w:eastAsia="仿宋_GB2312" w:cs="仿宋_GB2312"/>
          <w:sz w:val="32"/>
          <w:szCs w:val="32"/>
        </w:rPr>
        <w:t>、公务用车购置及运行费和公务接待费。其中，因公出国（境）费</w:t>
      </w:r>
      <w:r>
        <w:rPr>
          <w:rFonts w:hint="eastAsia" w:ascii="仿宋_GB2312" w:hAnsi="仿宋_GB2312" w:eastAsia="仿宋_GB2312" w:cs="仿宋_GB2312"/>
          <w:sz w:val="32"/>
          <w:szCs w:val="32"/>
          <w:lang w:val="en-US" w:eastAsia="zh-CN"/>
        </w:rPr>
        <w:t>用</w:t>
      </w:r>
      <w:r>
        <w:rPr>
          <w:rFonts w:hint="eastAsia" w:ascii="仿宋_GB2312" w:hAnsi="仿宋_GB2312" w:eastAsia="仿宋_GB2312" w:cs="仿宋_GB2312"/>
          <w:sz w:val="32"/>
          <w:szCs w:val="32"/>
        </w:rPr>
        <w:t>反映单位公务出国（境）的国际旅费、国外城市间交通费、住宿费、伙食费、培训费、公杂费等支出，不含教学科研人员学术交流出国（境）费用；公务用车购置及运行费反映单位公务用车车辆购置支出（含车辆购置税）及燃料费、新能源汽车充电费、维修费、过桥过路费、保险费、安全奖励费用等支出；公务接待费反映单位按规定开支的各类公务接待（含外宾接待）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.机关运行经费：指为保障行政单位（含参照公务员法管理的事业单位）运行用于购买货物和服务的各项资金，包括办公</w:t>
      </w:r>
      <w:r>
        <w:rPr>
          <w:rFonts w:hint="eastAsia" w:ascii="仿宋_GB2312" w:hAnsi="仿宋_GB2312" w:eastAsia="仿宋_GB2312" w:cs="仿宋_GB2312"/>
          <w:sz w:val="32"/>
          <w:szCs w:val="32"/>
          <w:lang w:val="en-US" w:eastAsia="zh-CN"/>
        </w:rPr>
        <w:t>费、</w:t>
      </w:r>
      <w:r>
        <w:rPr>
          <w:rFonts w:hint="eastAsia" w:ascii="仿宋_GB2312" w:hAnsi="仿宋_GB2312" w:eastAsia="仿宋_GB2312" w:cs="仿宋_GB2312"/>
          <w:sz w:val="32"/>
          <w:szCs w:val="32"/>
        </w:rPr>
        <w:t>印刷费、邮电费、差旅费、会议费、福利费、日常维修费、专用材料</w:t>
      </w:r>
      <w:r>
        <w:rPr>
          <w:rFonts w:hint="eastAsia" w:ascii="仿宋_GB2312" w:hAnsi="仿宋_GB2312" w:eastAsia="仿宋_GB2312" w:cs="仿宋_GB2312"/>
          <w:sz w:val="32"/>
          <w:szCs w:val="32"/>
          <w:lang w:val="en-US" w:eastAsia="zh-CN"/>
        </w:rPr>
        <w:t>费</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办公</w:t>
      </w:r>
      <w:r>
        <w:rPr>
          <w:rFonts w:hint="eastAsia" w:ascii="仿宋_GB2312" w:hAnsi="仿宋_GB2312" w:eastAsia="仿宋_GB2312" w:cs="仿宋_GB2312"/>
          <w:sz w:val="32"/>
          <w:szCs w:val="32"/>
        </w:rPr>
        <w:t>设备购置费、办公用房水电费、办公用房取暖费、办公用房物业管理费、公务用车运行维护费以及其他费用。</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宋体" w:eastAsia="仿宋_GB2312" w:cs="宋体"/>
          <w:color w:val="000000"/>
          <w:kern w:val="0"/>
          <w:sz w:val="32"/>
          <w:szCs w:val="32"/>
        </w:rPr>
        <w:t>社会保障和就业支出（类）-社会福利（款）-殡葬（项）：指财政对民政及其他部门举办的火葬场等殡仪事业单位的补助支出。</w:t>
      </w:r>
    </w:p>
    <w:p>
      <w:pPr>
        <w:spacing w:line="560" w:lineRule="exact"/>
        <w:ind w:firstLine="640" w:firstLineChars="200"/>
        <w:rPr>
          <w:color w:val="auto"/>
          <w:highlight w:val="none"/>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宋体" w:eastAsia="仿宋_GB2312" w:cs="宋体"/>
          <w:color w:val="000000"/>
          <w:kern w:val="0"/>
          <w:sz w:val="32"/>
          <w:szCs w:val="32"/>
          <w:lang w:val="en-US" w:eastAsia="zh-CN"/>
        </w:rPr>
        <w:t>其他</w:t>
      </w:r>
      <w:r>
        <w:rPr>
          <w:rFonts w:hint="eastAsia" w:ascii="仿宋_GB2312" w:hAnsi="宋体" w:eastAsia="仿宋_GB2312" w:cs="宋体"/>
          <w:color w:val="000000"/>
          <w:kern w:val="0"/>
          <w:sz w:val="32"/>
          <w:szCs w:val="32"/>
        </w:rPr>
        <w:t>支出（类）-彩票公益金安排的支出（款）-用于社会福利的彩票公益金支出（项）：指用于社会福利和社会救助的彩票公益金支出。</w:t>
      </w:r>
    </w:p>
    <w:p>
      <w:pPr>
        <w:spacing w:line="520" w:lineRule="exact"/>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5A99C"/>
    <w:multiLevelType w:val="singleLevel"/>
    <w:tmpl w:val="5895A99C"/>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8453C"/>
    <w:rsid w:val="00037FBA"/>
    <w:rsid w:val="00084C3B"/>
    <w:rsid w:val="000F6704"/>
    <w:rsid w:val="0014553D"/>
    <w:rsid w:val="00151805"/>
    <w:rsid w:val="0018453C"/>
    <w:rsid w:val="001C6D6F"/>
    <w:rsid w:val="001D7273"/>
    <w:rsid w:val="001F186B"/>
    <w:rsid w:val="0025199F"/>
    <w:rsid w:val="00262BFB"/>
    <w:rsid w:val="002E190E"/>
    <w:rsid w:val="00312421"/>
    <w:rsid w:val="0034320B"/>
    <w:rsid w:val="0035041B"/>
    <w:rsid w:val="00352D79"/>
    <w:rsid w:val="003533AA"/>
    <w:rsid w:val="00372A55"/>
    <w:rsid w:val="003A54FF"/>
    <w:rsid w:val="003E68CE"/>
    <w:rsid w:val="004C1A7E"/>
    <w:rsid w:val="004E07B6"/>
    <w:rsid w:val="004F65D0"/>
    <w:rsid w:val="004F6D96"/>
    <w:rsid w:val="0054517F"/>
    <w:rsid w:val="0055355B"/>
    <w:rsid w:val="00576237"/>
    <w:rsid w:val="005B1AB5"/>
    <w:rsid w:val="005D0D77"/>
    <w:rsid w:val="005E0A27"/>
    <w:rsid w:val="005E47B3"/>
    <w:rsid w:val="005E7D52"/>
    <w:rsid w:val="00655F61"/>
    <w:rsid w:val="006B2E4F"/>
    <w:rsid w:val="006C39E2"/>
    <w:rsid w:val="006D5442"/>
    <w:rsid w:val="006D7FE3"/>
    <w:rsid w:val="006E085B"/>
    <w:rsid w:val="006F455E"/>
    <w:rsid w:val="007072D9"/>
    <w:rsid w:val="00731A0A"/>
    <w:rsid w:val="0073245A"/>
    <w:rsid w:val="00755A48"/>
    <w:rsid w:val="007715EF"/>
    <w:rsid w:val="007A0C65"/>
    <w:rsid w:val="007B431F"/>
    <w:rsid w:val="007D24B2"/>
    <w:rsid w:val="007E4CC3"/>
    <w:rsid w:val="00801E01"/>
    <w:rsid w:val="00823268"/>
    <w:rsid w:val="00834DDF"/>
    <w:rsid w:val="00850DC9"/>
    <w:rsid w:val="0089440C"/>
    <w:rsid w:val="00937AE8"/>
    <w:rsid w:val="009415A1"/>
    <w:rsid w:val="009427F2"/>
    <w:rsid w:val="009A7459"/>
    <w:rsid w:val="009B71E7"/>
    <w:rsid w:val="00A76362"/>
    <w:rsid w:val="00A86842"/>
    <w:rsid w:val="00AB2741"/>
    <w:rsid w:val="00B109C2"/>
    <w:rsid w:val="00B85FDA"/>
    <w:rsid w:val="00BA6311"/>
    <w:rsid w:val="00C35F38"/>
    <w:rsid w:val="00C35FDD"/>
    <w:rsid w:val="00C47BB8"/>
    <w:rsid w:val="00C50353"/>
    <w:rsid w:val="00C52D1F"/>
    <w:rsid w:val="00CC1B9F"/>
    <w:rsid w:val="00CE3F52"/>
    <w:rsid w:val="00D7617F"/>
    <w:rsid w:val="00D81B35"/>
    <w:rsid w:val="00DA4451"/>
    <w:rsid w:val="00DA6F5B"/>
    <w:rsid w:val="00DA7F84"/>
    <w:rsid w:val="00DF037C"/>
    <w:rsid w:val="00E16F71"/>
    <w:rsid w:val="00E20FB4"/>
    <w:rsid w:val="00E40834"/>
    <w:rsid w:val="00E429D8"/>
    <w:rsid w:val="00E44C58"/>
    <w:rsid w:val="00E61E40"/>
    <w:rsid w:val="00E925CD"/>
    <w:rsid w:val="00E95C9E"/>
    <w:rsid w:val="00ED0384"/>
    <w:rsid w:val="00F23B56"/>
    <w:rsid w:val="00F56A05"/>
    <w:rsid w:val="00F7116F"/>
    <w:rsid w:val="01405C62"/>
    <w:rsid w:val="01F263DB"/>
    <w:rsid w:val="01F648EB"/>
    <w:rsid w:val="024C6702"/>
    <w:rsid w:val="026505B4"/>
    <w:rsid w:val="028630A1"/>
    <w:rsid w:val="02FD4879"/>
    <w:rsid w:val="038C7FF1"/>
    <w:rsid w:val="03AA3E3B"/>
    <w:rsid w:val="03EA5C50"/>
    <w:rsid w:val="0458580D"/>
    <w:rsid w:val="04600135"/>
    <w:rsid w:val="05054F3D"/>
    <w:rsid w:val="05F46152"/>
    <w:rsid w:val="05F835B0"/>
    <w:rsid w:val="06113422"/>
    <w:rsid w:val="063B27DE"/>
    <w:rsid w:val="065E25EC"/>
    <w:rsid w:val="06835E42"/>
    <w:rsid w:val="06F965CB"/>
    <w:rsid w:val="07487AC1"/>
    <w:rsid w:val="07623DA7"/>
    <w:rsid w:val="081119C7"/>
    <w:rsid w:val="08DE4DFD"/>
    <w:rsid w:val="0A1D1E06"/>
    <w:rsid w:val="0A4C7CCD"/>
    <w:rsid w:val="0B486D9D"/>
    <w:rsid w:val="0B4F52A1"/>
    <w:rsid w:val="0B652DFD"/>
    <w:rsid w:val="0B654246"/>
    <w:rsid w:val="0BD448F3"/>
    <w:rsid w:val="0C7B7749"/>
    <w:rsid w:val="0CE2397A"/>
    <w:rsid w:val="0CEE5818"/>
    <w:rsid w:val="0DDF3EA9"/>
    <w:rsid w:val="0F0A0BC6"/>
    <w:rsid w:val="0F216C64"/>
    <w:rsid w:val="0F3E23E2"/>
    <w:rsid w:val="0F5C4EB1"/>
    <w:rsid w:val="0F760C96"/>
    <w:rsid w:val="0F8B51E9"/>
    <w:rsid w:val="0FEA06B3"/>
    <w:rsid w:val="106B2554"/>
    <w:rsid w:val="1085571C"/>
    <w:rsid w:val="10AD6224"/>
    <w:rsid w:val="113F7BA5"/>
    <w:rsid w:val="12970A77"/>
    <w:rsid w:val="12D300E7"/>
    <w:rsid w:val="136B79EF"/>
    <w:rsid w:val="1370543F"/>
    <w:rsid w:val="13811EEE"/>
    <w:rsid w:val="13FF3975"/>
    <w:rsid w:val="14861683"/>
    <w:rsid w:val="14887B46"/>
    <w:rsid w:val="14EF3497"/>
    <w:rsid w:val="153C45B3"/>
    <w:rsid w:val="157947AC"/>
    <w:rsid w:val="15DB09EF"/>
    <w:rsid w:val="1650535C"/>
    <w:rsid w:val="16B75B8F"/>
    <w:rsid w:val="16FE1938"/>
    <w:rsid w:val="170C3948"/>
    <w:rsid w:val="178056C8"/>
    <w:rsid w:val="17EC7FC1"/>
    <w:rsid w:val="17F81734"/>
    <w:rsid w:val="180061CB"/>
    <w:rsid w:val="18154C5A"/>
    <w:rsid w:val="18EF3804"/>
    <w:rsid w:val="19001E74"/>
    <w:rsid w:val="195C3A7E"/>
    <w:rsid w:val="1A2375F0"/>
    <w:rsid w:val="1AC0275A"/>
    <w:rsid w:val="1AE500E3"/>
    <w:rsid w:val="1B1D1342"/>
    <w:rsid w:val="1B2A6629"/>
    <w:rsid w:val="1BBC2184"/>
    <w:rsid w:val="1C103D2D"/>
    <w:rsid w:val="1C1965EC"/>
    <w:rsid w:val="1C7701B9"/>
    <w:rsid w:val="1CEA3F89"/>
    <w:rsid w:val="1CF73295"/>
    <w:rsid w:val="1D451326"/>
    <w:rsid w:val="1D5F4748"/>
    <w:rsid w:val="1D99665F"/>
    <w:rsid w:val="1E621D9B"/>
    <w:rsid w:val="1E9448CB"/>
    <w:rsid w:val="1E945AB3"/>
    <w:rsid w:val="1EA3498E"/>
    <w:rsid w:val="1EFB5835"/>
    <w:rsid w:val="1F5052F4"/>
    <w:rsid w:val="1F8A1433"/>
    <w:rsid w:val="1FD94E57"/>
    <w:rsid w:val="205247F6"/>
    <w:rsid w:val="205508A0"/>
    <w:rsid w:val="206501BF"/>
    <w:rsid w:val="20C21B5F"/>
    <w:rsid w:val="20D8491F"/>
    <w:rsid w:val="2163103A"/>
    <w:rsid w:val="217D79B3"/>
    <w:rsid w:val="219B3B12"/>
    <w:rsid w:val="219E2440"/>
    <w:rsid w:val="21F8300E"/>
    <w:rsid w:val="22D4227E"/>
    <w:rsid w:val="22FA27EC"/>
    <w:rsid w:val="230477A4"/>
    <w:rsid w:val="234550B7"/>
    <w:rsid w:val="2384696C"/>
    <w:rsid w:val="23B968AE"/>
    <w:rsid w:val="240772FF"/>
    <w:rsid w:val="24183DF0"/>
    <w:rsid w:val="247778DD"/>
    <w:rsid w:val="247A77A8"/>
    <w:rsid w:val="24D6630F"/>
    <w:rsid w:val="24F84929"/>
    <w:rsid w:val="252A0A7B"/>
    <w:rsid w:val="257B506C"/>
    <w:rsid w:val="259F7519"/>
    <w:rsid w:val="25AF42DB"/>
    <w:rsid w:val="25B348BA"/>
    <w:rsid w:val="25DE1005"/>
    <w:rsid w:val="25FD2566"/>
    <w:rsid w:val="26146B0C"/>
    <w:rsid w:val="26816946"/>
    <w:rsid w:val="26DB7398"/>
    <w:rsid w:val="27033FBD"/>
    <w:rsid w:val="2705728B"/>
    <w:rsid w:val="27417BF8"/>
    <w:rsid w:val="27693B45"/>
    <w:rsid w:val="283A129B"/>
    <w:rsid w:val="28FE78EF"/>
    <w:rsid w:val="29672817"/>
    <w:rsid w:val="29763DAA"/>
    <w:rsid w:val="29954B63"/>
    <w:rsid w:val="29A41943"/>
    <w:rsid w:val="29B831E7"/>
    <w:rsid w:val="29DF16A7"/>
    <w:rsid w:val="29F74F67"/>
    <w:rsid w:val="2A484907"/>
    <w:rsid w:val="2B755902"/>
    <w:rsid w:val="2BA81833"/>
    <w:rsid w:val="2BAC3F70"/>
    <w:rsid w:val="2BB02AB9"/>
    <w:rsid w:val="2C56166B"/>
    <w:rsid w:val="2C772798"/>
    <w:rsid w:val="2CE33635"/>
    <w:rsid w:val="2D391980"/>
    <w:rsid w:val="2D7C6F9A"/>
    <w:rsid w:val="2ED263DE"/>
    <w:rsid w:val="2F312BD6"/>
    <w:rsid w:val="2F4F315F"/>
    <w:rsid w:val="2F5260FE"/>
    <w:rsid w:val="2F78760A"/>
    <w:rsid w:val="30780EC9"/>
    <w:rsid w:val="309A0801"/>
    <w:rsid w:val="31651329"/>
    <w:rsid w:val="31C46552"/>
    <w:rsid w:val="31EC7268"/>
    <w:rsid w:val="32691E0F"/>
    <w:rsid w:val="33722AF4"/>
    <w:rsid w:val="339F6CDD"/>
    <w:rsid w:val="344952F9"/>
    <w:rsid w:val="34962644"/>
    <w:rsid w:val="34F20284"/>
    <w:rsid w:val="3619346A"/>
    <w:rsid w:val="366152C5"/>
    <w:rsid w:val="37DD34EA"/>
    <w:rsid w:val="3859649B"/>
    <w:rsid w:val="386D2696"/>
    <w:rsid w:val="38CA384A"/>
    <w:rsid w:val="39227B1B"/>
    <w:rsid w:val="39406911"/>
    <w:rsid w:val="39850296"/>
    <w:rsid w:val="39C26750"/>
    <w:rsid w:val="3A7F1D43"/>
    <w:rsid w:val="3A8D223E"/>
    <w:rsid w:val="3B291386"/>
    <w:rsid w:val="3B563038"/>
    <w:rsid w:val="3B7A306D"/>
    <w:rsid w:val="3B80307E"/>
    <w:rsid w:val="3BCA7BD7"/>
    <w:rsid w:val="3C6C37E2"/>
    <w:rsid w:val="3C7D1C3F"/>
    <w:rsid w:val="3CDF42B5"/>
    <w:rsid w:val="3CEA3E5A"/>
    <w:rsid w:val="3CFD6A0C"/>
    <w:rsid w:val="3DDA1E4D"/>
    <w:rsid w:val="3E291B8C"/>
    <w:rsid w:val="400943B7"/>
    <w:rsid w:val="40143523"/>
    <w:rsid w:val="406B2735"/>
    <w:rsid w:val="4171469C"/>
    <w:rsid w:val="41857EAB"/>
    <w:rsid w:val="42C454C8"/>
    <w:rsid w:val="42EC4BA0"/>
    <w:rsid w:val="43482ADF"/>
    <w:rsid w:val="43497E11"/>
    <w:rsid w:val="438C52D1"/>
    <w:rsid w:val="43AF1DC7"/>
    <w:rsid w:val="442360D8"/>
    <w:rsid w:val="450B3104"/>
    <w:rsid w:val="45374F70"/>
    <w:rsid w:val="45A32D85"/>
    <w:rsid w:val="45E922E2"/>
    <w:rsid w:val="46181B9F"/>
    <w:rsid w:val="46B73DB3"/>
    <w:rsid w:val="46B85A12"/>
    <w:rsid w:val="46C20ABF"/>
    <w:rsid w:val="471C5409"/>
    <w:rsid w:val="475E76EE"/>
    <w:rsid w:val="47B54AE2"/>
    <w:rsid w:val="47C24104"/>
    <w:rsid w:val="484652C3"/>
    <w:rsid w:val="489E735B"/>
    <w:rsid w:val="48EF215B"/>
    <w:rsid w:val="49547ADE"/>
    <w:rsid w:val="499358EA"/>
    <w:rsid w:val="49A70025"/>
    <w:rsid w:val="4A9518DB"/>
    <w:rsid w:val="4AB935E6"/>
    <w:rsid w:val="4B1F601E"/>
    <w:rsid w:val="4B65339C"/>
    <w:rsid w:val="4BE2220E"/>
    <w:rsid w:val="4CBF2857"/>
    <w:rsid w:val="4CF82AE4"/>
    <w:rsid w:val="4D097364"/>
    <w:rsid w:val="4D667BB3"/>
    <w:rsid w:val="4D7808AB"/>
    <w:rsid w:val="4DC87963"/>
    <w:rsid w:val="4E0626FD"/>
    <w:rsid w:val="4EA45B39"/>
    <w:rsid w:val="4EED2017"/>
    <w:rsid w:val="4F2E2211"/>
    <w:rsid w:val="4F4E78CD"/>
    <w:rsid w:val="4FA62E1E"/>
    <w:rsid w:val="4FAC0AB2"/>
    <w:rsid w:val="4FC809F8"/>
    <w:rsid w:val="4FE85961"/>
    <w:rsid w:val="50072C4D"/>
    <w:rsid w:val="50341189"/>
    <w:rsid w:val="50837233"/>
    <w:rsid w:val="511C355A"/>
    <w:rsid w:val="514C5668"/>
    <w:rsid w:val="51513799"/>
    <w:rsid w:val="518C29B6"/>
    <w:rsid w:val="52170DB7"/>
    <w:rsid w:val="52AA23A8"/>
    <w:rsid w:val="52B7187A"/>
    <w:rsid w:val="52B816A4"/>
    <w:rsid w:val="52BF3A93"/>
    <w:rsid w:val="53A5465B"/>
    <w:rsid w:val="53B6028C"/>
    <w:rsid w:val="54392B16"/>
    <w:rsid w:val="54442E65"/>
    <w:rsid w:val="545B2AA1"/>
    <w:rsid w:val="549B5701"/>
    <w:rsid w:val="54A9277D"/>
    <w:rsid w:val="55182E77"/>
    <w:rsid w:val="553F16B7"/>
    <w:rsid w:val="558856A9"/>
    <w:rsid w:val="55CA2A9E"/>
    <w:rsid w:val="55CA3B80"/>
    <w:rsid w:val="55E50F1B"/>
    <w:rsid w:val="565F6886"/>
    <w:rsid w:val="56BC237C"/>
    <w:rsid w:val="56CD4B4D"/>
    <w:rsid w:val="575C7815"/>
    <w:rsid w:val="5798381B"/>
    <w:rsid w:val="57D4447A"/>
    <w:rsid w:val="57F759F2"/>
    <w:rsid w:val="585447AE"/>
    <w:rsid w:val="58AF736D"/>
    <w:rsid w:val="58D704D4"/>
    <w:rsid w:val="58EC4DE1"/>
    <w:rsid w:val="596B72CE"/>
    <w:rsid w:val="59B3494A"/>
    <w:rsid w:val="59EB1B1F"/>
    <w:rsid w:val="59EC6E24"/>
    <w:rsid w:val="5A0B2520"/>
    <w:rsid w:val="5A186813"/>
    <w:rsid w:val="5A3B2376"/>
    <w:rsid w:val="5A40591F"/>
    <w:rsid w:val="5A6F0692"/>
    <w:rsid w:val="5ABF2E42"/>
    <w:rsid w:val="5B586398"/>
    <w:rsid w:val="5B5E26D5"/>
    <w:rsid w:val="5B916903"/>
    <w:rsid w:val="5BEF472E"/>
    <w:rsid w:val="5C932202"/>
    <w:rsid w:val="5CA67D37"/>
    <w:rsid w:val="5CC87E6F"/>
    <w:rsid w:val="5CD918EA"/>
    <w:rsid w:val="5D247D3D"/>
    <w:rsid w:val="5DAE1AC9"/>
    <w:rsid w:val="5E153AF5"/>
    <w:rsid w:val="5F0E1E7F"/>
    <w:rsid w:val="5F112305"/>
    <w:rsid w:val="5F2767B3"/>
    <w:rsid w:val="5FE31F70"/>
    <w:rsid w:val="60045498"/>
    <w:rsid w:val="614C1844"/>
    <w:rsid w:val="617A6C2D"/>
    <w:rsid w:val="61855523"/>
    <w:rsid w:val="618968F0"/>
    <w:rsid w:val="619E6355"/>
    <w:rsid w:val="61BD64DA"/>
    <w:rsid w:val="6215384D"/>
    <w:rsid w:val="627460EE"/>
    <w:rsid w:val="62AC06BC"/>
    <w:rsid w:val="633B4987"/>
    <w:rsid w:val="63525D55"/>
    <w:rsid w:val="63F321C7"/>
    <w:rsid w:val="64BD699D"/>
    <w:rsid w:val="64C20A08"/>
    <w:rsid w:val="64F06443"/>
    <w:rsid w:val="65737FB9"/>
    <w:rsid w:val="65DF5ECF"/>
    <w:rsid w:val="661D7FD4"/>
    <w:rsid w:val="665A45AE"/>
    <w:rsid w:val="66A662C4"/>
    <w:rsid w:val="66DE2D4E"/>
    <w:rsid w:val="67222B8A"/>
    <w:rsid w:val="679D182D"/>
    <w:rsid w:val="67BB6396"/>
    <w:rsid w:val="68794E30"/>
    <w:rsid w:val="687B5327"/>
    <w:rsid w:val="688621C1"/>
    <w:rsid w:val="68C15BDE"/>
    <w:rsid w:val="6AD23ACD"/>
    <w:rsid w:val="6AE706B2"/>
    <w:rsid w:val="6B103823"/>
    <w:rsid w:val="6B315A81"/>
    <w:rsid w:val="6B366CB7"/>
    <w:rsid w:val="6B4E7636"/>
    <w:rsid w:val="6C3F4637"/>
    <w:rsid w:val="6C9D07C7"/>
    <w:rsid w:val="6CB426A8"/>
    <w:rsid w:val="6D3835CD"/>
    <w:rsid w:val="6D9B59D3"/>
    <w:rsid w:val="6DDF18A8"/>
    <w:rsid w:val="6E7742D5"/>
    <w:rsid w:val="6E947A29"/>
    <w:rsid w:val="6EFB1E55"/>
    <w:rsid w:val="701E0D35"/>
    <w:rsid w:val="708C2BAE"/>
    <w:rsid w:val="717A54B6"/>
    <w:rsid w:val="71E47115"/>
    <w:rsid w:val="72124418"/>
    <w:rsid w:val="72BF52A3"/>
    <w:rsid w:val="73520170"/>
    <w:rsid w:val="73B32D5B"/>
    <w:rsid w:val="74906E74"/>
    <w:rsid w:val="74D2633E"/>
    <w:rsid w:val="75061B64"/>
    <w:rsid w:val="75127B2A"/>
    <w:rsid w:val="756B70AB"/>
    <w:rsid w:val="762D45E7"/>
    <w:rsid w:val="76432C97"/>
    <w:rsid w:val="76472E5B"/>
    <w:rsid w:val="76622032"/>
    <w:rsid w:val="76DA2B8D"/>
    <w:rsid w:val="773F1B2E"/>
    <w:rsid w:val="776141C0"/>
    <w:rsid w:val="77734CA1"/>
    <w:rsid w:val="77E71EE7"/>
    <w:rsid w:val="78403651"/>
    <w:rsid w:val="784051C1"/>
    <w:rsid w:val="789E16E5"/>
    <w:rsid w:val="78DB40C6"/>
    <w:rsid w:val="7954401D"/>
    <w:rsid w:val="79547EF1"/>
    <w:rsid w:val="79A24C96"/>
    <w:rsid w:val="7AC02D1F"/>
    <w:rsid w:val="7AE80A7B"/>
    <w:rsid w:val="7AE861A8"/>
    <w:rsid w:val="7B452E9A"/>
    <w:rsid w:val="7B5C7060"/>
    <w:rsid w:val="7B5E14E4"/>
    <w:rsid w:val="7B741965"/>
    <w:rsid w:val="7BBF78B4"/>
    <w:rsid w:val="7BFE30BC"/>
    <w:rsid w:val="7C0A7BF1"/>
    <w:rsid w:val="7CD24C07"/>
    <w:rsid w:val="7CDD0037"/>
    <w:rsid w:val="7D2C5AF6"/>
    <w:rsid w:val="7D8F4D87"/>
    <w:rsid w:val="7DBB66FE"/>
    <w:rsid w:val="7DBE27C1"/>
    <w:rsid w:val="7DCA5F0F"/>
    <w:rsid w:val="7E1F736F"/>
    <w:rsid w:val="7E300305"/>
    <w:rsid w:val="7E7D74C3"/>
    <w:rsid w:val="7EB52BD6"/>
    <w:rsid w:val="7F346A78"/>
    <w:rsid w:val="7FA57776"/>
    <w:rsid w:val="7FC250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link w:val="10"/>
    <w:semiHidden/>
    <w:unhideWhenUsed/>
    <w:qFormat/>
    <w:uiPriority w:val="1"/>
    <w:rPr>
      <w:rFonts w:ascii="宋体" w:hAnsi="宋体" w:cs="Courier New"/>
      <w:sz w:val="32"/>
      <w:szCs w:val="32"/>
    </w:rPr>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4">
    <w:name w:val="Document Map"/>
    <w:basedOn w:val="1"/>
    <w:semiHidden/>
    <w:qFormat/>
    <w:uiPriority w:val="0"/>
    <w:pPr>
      <w:shd w:val="clear" w:color="auto" w:fill="000080"/>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Char"/>
    <w:basedOn w:val="1"/>
    <w:link w:val="9"/>
    <w:qFormat/>
    <w:uiPriority w:val="0"/>
    <w:rPr>
      <w:rFonts w:ascii="宋体" w:hAnsi="宋体" w:cs="Courier New"/>
      <w:sz w:val="32"/>
      <w:szCs w:val="32"/>
    </w:rPr>
  </w:style>
  <w:style w:type="character" w:styleId="11">
    <w:name w:val="Strong"/>
    <w:basedOn w:val="9"/>
    <w:qFormat/>
    <w:uiPriority w:val="0"/>
    <w:rPr>
      <w:b/>
      <w:bCs/>
    </w:rPr>
  </w:style>
  <w:style w:type="character" w:customStyle="1" w:styleId="12">
    <w:name w:val="页眉 Char"/>
    <w:link w:val="6"/>
    <w:qFormat/>
    <w:uiPriority w:val="0"/>
    <w:rPr>
      <w:kern w:val="2"/>
      <w:sz w:val="18"/>
      <w:szCs w:val="18"/>
    </w:rPr>
  </w:style>
  <w:style w:type="character" w:customStyle="1" w:styleId="13">
    <w:name w:val="页脚 Char"/>
    <w:link w:val="5"/>
    <w:qFormat/>
    <w:uiPriority w:val="0"/>
    <w:rPr>
      <w:kern w:val="2"/>
      <w:sz w:val="18"/>
      <w:szCs w:val="18"/>
    </w:rPr>
  </w:style>
  <w:style w:type="paragraph" w:customStyle="1" w:styleId="14">
    <w:name w:val="[Normal]"/>
    <w:qFormat/>
    <w:uiPriority w:val="0"/>
    <w:rPr>
      <w:rFonts w:ascii="宋体" w:hAnsi="宋体" w:eastAsia="宋体" w:cs="Times New Roman"/>
      <w:sz w:val="24"/>
      <w:lang w:val="zh-CN" w:eastAsia="zh-CN" w:bidi="ar-SA"/>
    </w:r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xc</Company>
  <Pages>19</Pages>
  <Words>9460</Words>
  <Characters>10215</Characters>
  <Lines>145</Lines>
  <Paragraphs>54</Paragraphs>
  <TotalTime>0</TotalTime>
  <ScaleCrop>false</ScaleCrop>
  <LinksUpToDate>false</LinksUpToDate>
  <CharactersWithSpaces>10242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2020-01-06T08:45:00Z</dcterms:created>
  <dc:creator>dsx</dc:creator>
  <cp:lastModifiedBy>叶水花</cp:lastModifiedBy>
  <dcterms:modified xsi:type="dcterms:W3CDTF">2025-03-31T02:44:43Z</dcterms:modified>
  <dc:title>关于2019年部门预算的批复</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EDOID">
    <vt:r8>5838458</vt:r8>
  </property>
  <property fmtid="{D5CDD505-2E9C-101B-9397-08002B2CF9AE}" pid="4" name="ICV">
    <vt:lpwstr>AE293BE06396464AB610D12C04197BE8_13</vt:lpwstr>
  </property>
  <property fmtid="{D5CDD505-2E9C-101B-9397-08002B2CF9AE}" pid="5" name="KSOTemplateDocerSaveRecord">
    <vt:lpwstr>eyJoZGlkIjoiMDkyMzBhOWU1ZmQyNTE3YzlkZWViNjFmMzM0OWUyNGQifQ==</vt:lpwstr>
  </property>
</Properties>
</file>